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left"/>
        <w:tblLook w:firstColumn="1" w:firstRow="1" w:lastColumn="0" w:lastRow="0" w:noHBand="0" w:noVBand="1" w:val="04A0"/>
      </w:tblPr>
      <w:tblGrid>
        <w:gridCol w:w="10166"/>
      </w:tblGrid>
      <w:tr>
        <w:tc>
          <w:tcPr>
            <w:tcW w:type="dxa" w:w="10166"/>
            <w:shd w:fill="F2B842"/>
            <w:tcMar>
              <w:top w:w="75" w:type="dxa"/>
              <w:start w:w="110" w:type="dxa"/>
              <w:bottom w:w="75" w:type="dxa"/>
              <w:end w:w="110" w:type="dxa"/>
            </w:tcMar>
            <w:tcBorders>
              <w:top w:val="nil"/>
              <w:left w:val="nil"/>
              <w:bottom w:val="nil"/>
              <w:right w:val="nil"/>
            </w:tcBorders>
          </w:tcPr>
          <w:p>
            <w:r>
              <w:rPr>
                <w:rFonts w:ascii="Aptos" w:hAnsi="Aptos"/>
                <w:b/>
                <w:color w:val="142436"/>
                <w:sz w:val="16"/>
              </w:rPr>
              <w:t>FIELD GUIDE 01  •  2026 EDITION</w:t>
            </w:r>
          </w:p>
        </w:tc>
      </w:tr>
    </w:tbl>
    <w:p>
      <w:pPr>
        <w:spacing w:before="680" w:after="560"/>
      </w:pPr>
      <w:r>
        <w:drawing>
          <wp:inline xmlns:a="http://schemas.openxmlformats.org/drawingml/2006/main" xmlns:pic="http://schemas.openxmlformats.org/drawingml/2006/picture">
            <wp:extent cx="1078992" cy="1078992"/>
            <wp:docPr id="1" name="Picture 1"/>
            <wp:cNvGraphicFramePr>
              <a:graphicFrameLocks noChangeAspect="1"/>
            </wp:cNvGraphicFramePr>
            <a:graphic>
              <a:graphicData uri="http://schemas.openxmlformats.org/drawingml/2006/picture">
                <pic:pic>
                  <pic:nvPicPr>
                    <pic:cNvPr id="0" name="blue-collar-wealth-emblem.png"/>
                    <pic:cNvPicPr/>
                  </pic:nvPicPr>
                  <pic:blipFill>
                    <a:blip r:embed="rId11"/>
                    <a:stretch>
                      <a:fillRect/>
                    </a:stretch>
                  </pic:blipFill>
                  <pic:spPr>
                    <a:xfrm>
                      <a:off x="0" y="0"/>
                      <a:ext cx="1078992" cy="1078992"/>
                    </a:xfrm>
                    <a:prstGeom prst="rect"/>
                  </pic:spPr>
                </pic:pic>
              </a:graphicData>
            </a:graphic>
          </wp:inline>
        </w:drawing>
      </w:r>
    </w:p>
    <w:p>
      <w:pPr>
        <w:spacing w:after="100"/>
      </w:pPr>
      <w:r>
        <w:rPr>
          <w:rFonts w:ascii="Arial Narrow" w:hAnsi="Arial Narrow"/>
          <w:b/>
          <w:color w:val="2E6D8F"/>
          <w:sz w:val="26"/>
        </w:rPr>
        <w:t>BLUE COLLAR WEALTH</w:t>
      </w:r>
    </w:p>
    <w:p>
      <w:pPr>
        <w:spacing w:after="300"/>
      </w:pPr>
      <w:r>
        <w:rPr>
          <w:rFonts w:ascii="Arial Narrow" w:hAnsi="Arial Narrow"/>
          <w:b/>
          <w:caps/>
          <w:color w:val="000000"/>
          <w:sz w:val="84"/>
        </w:rPr>
        <w:t>INVESTOR</w:t>
        <w:br/>
        <w:t>FIELD GUIDE</w:t>
      </w:r>
    </w:p>
    <w:p>
      <w:pPr>
        <w:spacing w:after="440" w:line="264" w:lineRule="auto"/>
      </w:pPr>
      <w:r>
        <w:rPr>
          <w:rFonts w:ascii="Arial Narrow" w:hAnsi="Arial Narrow"/>
          <w:b/>
          <w:color w:val="142436"/>
          <w:sz w:val="36"/>
        </w:rPr>
        <w:t>Turn part of today’s work into tomorrow’s ownership.</w:t>
      </w:r>
    </w:p>
    <w:tbl>
      <w:tblPr>
        <w:tblW w:type="auto" w:w="0"/>
        <w:jc w:val="left"/>
        <w:tblLayout w:type="fixed"/>
        <w:tblLook w:firstColumn="1" w:firstRow="1" w:lastColumn="0" w:lastRow="0" w:noHBand="0" w:noVBand="1" w:val="04A0"/>
      </w:tblPr>
      <w:tblGrid>
        <w:gridCol w:w="3389"/>
        <w:gridCol w:w="3389"/>
        <w:gridCol w:w="3389"/>
      </w:tblGrid>
      <w:tr>
        <w:tc>
          <w:tcPr>
            <w:tcW w:type="dxa" w:w="3389"/>
            <w:shd w:fill="142436"/>
            <w:tcMar>
              <w:top w:w="130" w:type="dxa"/>
              <w:start w:w="100" w:type="dxa"/>
              <w:bottom w:w="130" w:type="dxa"/>
              <w:end w:w="100" w:type="dxa"/>
            </w:tcMar>
            <w:tcBorders>
              <w:top w:val="nil"/>
              <w:left w:val="nil"/>
              <w:bottom w:val="nil"/>
              <w:right w:val="nil"/>
            </w:tcBorders>
          </w:tcPr>
          <w:p>
            <w:pPr>
              <w:jc w:val="center"/>
            </w:pPr>
            <w:r>
              <w:rPr>
                <w:rFonts w:ascii="Aptos" w:hAnsi="Aptos"/>
                <w:b/>
                <w:color w:val="FFFFFF"/>
                <w:sz w:val="16"/>
              </w:rPr>
              <w:t>PROTECT THE PAYCHECK</w:t>
            </w:r>
          </w:p>
        </w:tc>
        <w:tc>
          <w:tcPr>
            <w:tcW w:type="dxa" w:w="3389"/>
            <w:shd w:fill="F2B842"/>
            <w:tcMar>
              <w:top w:w="130" w:type="dxa"/>
              <w:start w:w="100" w:type="dxa"/>
              <w:bottom w:w="130" w:type="dxa"/>
              <w:end w:w="100" w:type="dxa"/>
            </w:tcMar>
            <w:tcBorders>
              <w:top w:val="nil"/>
              <w:left w:val="nil"/>
              <w:bottom w:val="nil"/>
              <w:right w:val="nil"/>
            </w:tcBorders>
          </w:tcPr>
          <w:p>
            <w:pPr>
              <w:jc w:val="center"/>
            </w:pPr>
            <w:r>
              <w:rPr>
                <w:rFonts w:ascii="Aptos" w:hAnsi="Aptos"/>
                <w:b/>
                <w:color w:val="142436"/>
                <w:sz w:val="16"/>
              </w:rPr>
              <w:t>BUILD OWNERSHIP</w:t>
            </w:r>
          </w:p>
        </w:tc>
        <w:tc>
          <w:tcPr>
            <w:tcW w:type="dxa" w:w="3389"/>
            <w:shd w:fill="142436"/>
            <w:tcMar>
              <w:top w:w="130" w:type="dxa"/>
              <w:start w:w="100" w:type="dxa"/>
              <w:bottom w:w="130" w:type="dxa"/>
              <w:end w:w="100" w:type="dxa"/>
            </w:tcMar>
            <w:tcBorders>
              <w:top w:val="nil"/>
              <w:left w:val="nil"/>
              <w:bottom w:val="nil"/>
              <w:right w:val="nil"/>
            </w:tcBorders>
          </w:tcPr>
          <w:p>
            <w:pPr>
              <w:jc w:val="center"/>
            </w:pPr>
            <w:r>
              <w:rPr>
                <w:rFonts w:ascii="Aptos" w:hAnsi="Aptos"/>
                <w:b/>
                <w:color w:val="FFFFFF"/>
                <w:sz w:val="16"/>
              </w:rPr>
              <w:t>BUY BACK CHOICES</w:t>
            </w:r>
          </w:p>
        </w:tc>
      </w:tr>
    </w:tbl>
    <w:p>
      <w:pPr>
        <w:spacing w:before="600" w:after="60"/>
      </w:pPr>
      <w:r>
        <w:rPr>
          <w:rFonts w:ascii="Aptos" w:hAnsi="Aptos"/>
          <w:b/>
          <w:color w:val="142436"/>
          <w:sz w:val="18"/>
        </w:rPr>
        <w:t>BY RUSS GALLIVAN, CHST</w:t>
      </w:r>
    </w:p>
    <w:p>
      <w:pPr>
        <w:spacing w:after="0"/>
      </w:pPr>
      <w:r>
        <w:rPr>
          <w:rFonts w:ascii="Aptos" w:hAnsi="Aptos"/>
          <w:b w:val="0"/>
          <w:color w:val="5D6871"/>
          <w:sz w:val="17"/>
        </w:rPr>
        <w:t>Plain-language education for working families with overtime, shift pay, and variable income.</w:t>
      </w:r>
    </w:p>
    <w:p>
      <w:pPr>
        <w:spacing w:before="700" w:after="0"/>
      </w:pPr>
      <w:r>
        <w:rPr>
          <w:rFonts w:ascii="Aptos" w:hAnsi="Aptos"/>
          <w:b w:val="0"/>
          <w:color w:val="5D6871"/>
          <w:sz w:val="15"/>
        </w:rPr>
        <w:t>Educational information only. Investing involves risk, including possible loss of principal.</w:t>
      </w:r>
    </w:p>
    <w:p>
      <w:r>
        <w:br w:type="page"/>
      </w:r>
    </w:p>
    <w:tbl>
      <w:tblPr>
        <w:tblW w:type="auto" w:w="0"/>
        <w:jc w:val="left"/>
        <w:tblLayout w:type="fixed"/>
        <w:tblLook w:firstColumn="1" w:firstRow="1" w:lastColumn="0" w:lastRow="0" w:noHBand="0" w:noVBand="1" w:val="04A0"/>
      </w:tblPr>
      <w:tblGrid>
        <w:gridCol w:w="1037"/>
        <w:gridCol w:w="8712"/>
      </w:tblGrid>
      <w:tr>
        <w:tc>
          <w:tcPr>
            <w:tcW w:type="dxa" w:w="5083"/>
            <w:tcBorders>
              <w:top w:val="nil"/>
              <w:left w:val="nil"/>
              <w:bottom w:val="nil"/>
              <w:right w:val="nil"/>
            </w:tcBorders>
            <w:shd w:fill="F2B842"/>
            <w:tcMar>
              <w:top w:w="120" w:type="dxa"/>
              <w:start w:w="60" w:type="dxa"/>
              <w:bottom w:w="120" w:type="dxa"/>
              <w:end w:w="60" w:type="dxa"/>
            </w:tcMar>
            <w:vAlign w:val="center"/>
          </w:tcPr>
          <w:p>
            <w:pPr>
              <w:jc w:val="center"/>
            </w:pPr>
            <w:r>
              <w:rPr>
                <w:rFonts w:ascii="Arial Narrow" w:hAnsi="Arial Narrow"/>
                <w:b/>
                <w:color w:val="142436"/>
                <w:sz w:val="42"/>
              </w:rPr>
              <w:t>00</w:t>
            </w:r>
          </w:p>
        </w:tc>
        <w:tc>
          <w:tcPr>
            <w:tcW w:type="dxa" w:w="5083"/>
            <w:tcBorders>
              <w:top w:val="nil"/>
              <w:left w:val="nil"/>
              <w:bottom w:val="nil"/>
              <w:right w:val="nil"/>
            </w:tcBorders>
            <w:tcMar>
              <w:top w:w="20" w:type="dxa"/>
              <w:start w:w="180" w:type="dxa"/>
              <w:bottom w:w="0" w:type="dxa"/>
              <w:end w:w="0" w:type="dxa"/>
            </w:tcMar>
          </w:tcPr>
          <w:p>
            <w:pPr>
              <w:spacing w:after="80"/>
            </w:pPr>
            <w:r>
              <w:rPr>
                <w:rFonts w:ascii="Aptos" w:hAnsi="Aptos"/>
                <w:b/>
                <w:color w:val="2E6D8F"/>
                <w:sz w:val="16"/>
              </w:rPr>
              <w:t>A NOTE FROM RUSS</w:t>
            </w:r>
          </w:p>
          <w:p>
            <w:pPr>
              <w:spacing w:after="0"/>
            </w:pPr>
            <w:r>
              <w:rPr>
                <w:rFonts w:ascii="Arial Narrow" w:hAnsi="Arial Narrow"/>
                <w:b/>
                <w:caps/>
                <w:color w:val="000000"/>
                <w:sz w:val="51"/>
              </w:rPr>
              <w:t>I came up under the hook, not on Wall Street.</w:t>
            </w:r>
          </w:p>
        </w:tc>
      </w:tr>
    </w:tbl>
    <w:p>
      <w:pPr>
        <w:spacing w:before="300" w:after="280" w:line="276" w:lineRule="auto"/>
      </w:pPr>
      <w:r>
        <w:rPr>
          <w:rFonts w:ascii="Aptos" w:hAnsi="Aptos"/>
          <w:b w:val="0"/>
          <w:color w:val="5D6871"/>
          <w:sz w:val="23"/>
        </w:rPr>
        <w:t>This is a guide for people who understand work, responsibility, changing conditions, and the cost of getting the order wrong.</w:t>
      </w:r>
    </w:p>
    <w:tbl>
      <w:tblPr>
        <w:tblW w:type="auto" w:w="0"/>
        <w:jc w:val="left"/>
        <w:tblLayout w:type="fixed"/>
        <w:tblLook w:firstColumn="1" w:firstRow="1" w:lastColumn="0" w:lastRow="0" w:noHBand="0" w:noVBand="1" w:val="04A0"/>
      </w:tblPr>
      <w:tblGrid>
        <w:gridCol w:w="2232"/>
        <w:gridCol w:w="7560"/>
      </w:tblGrid>
      <w:tr>
        <w:tc>
          <w:tcPr>
            <w:tcW w:type="dxa" w:w="5083"/>
            <w:tcBorders>
              <w:top w:val="nil"/>
              <w:left w:val="nil"/>
              <w:bottom w:val="nil"/>
              <w:right w:val="nil"/>
            </w:tcBorders>
            <w:shd w:fill="142436"/>
            <w:tcMar>
              <w:top w:w="180" w:type="dxa"/>
              <w:start w:w="140" w:type="dxa"/>
              <w:bottom w:w="180" w:type="dxa"/>
              <w:end w:w="140" w:type="dxa"/>
            </w:tcMar>
          </w:tcPr>
          <w:p>
            <w:r>
              <w:rPr>
                <w:rFonts w:ascii="Arial Narrow" w:hAnsi="Arial Narrow"/>
                <w:b/>
                <w:color w:val="FFFFFF"/>
                <w:sz w:val="84"/>
              </w:rPr>
              <w:t>26</w:t>
            </w:r>
          </w:p>
          <w:p>
            <w:r>
              <w:rPr>
                <w:rFonts w:ascii="Aptos" w:hAnsi="Aptos"/>
                <w:b/>
                <w:color w:val="F2B842"/>
                <w:sz w:val="15"/>
              </w:rPr>
              <w:t>YEARS AROUND CRANES, RIGGING, CREWS &amp; SYSTEMS</w:t>
            </w:r>
          </w:p>
        </w:tc>
        <w:tc>
          <w:tcPr>
            <w:tcW w:type="dxa" w:w="5083"/>
            <w:tcBorders>
              <w:top w:val="nil"/>
              <w:left w:val="nil"/>
              <w:bottom w:val="nil"/>
              <w:right w:val="nil"/>
            </w:tcBorders>
            <w:tcMar>
              <w:top w:w="0" w:type="dxa"/>
              <w:start w:w="220" w:type="dxa"/>
              <w:bottom w:w="0" w:type="dxa"/>
              <w:end w:w="0" w:type="dxa"/>
            </w:tcMar>
          </w:tcPr>
          <w:p>
            <w:pPr>
              <w:spacing w:after="160" w:line="283" w:lineRule="auto"/>
            </w:pPr>
            <w:r>
              <w:rPr>
                <w:rFonts w:ascii="Aptos" w:hAnsi="Aptos"/>
                <w:b w:val="0"/>
                <w:color w:val="17212B"/>
                <w:sz w:val="19"/>
              </w:rPr>
              <w:t>About 26 years ago, I was hired out of school to become a crane operator. I started under the hook as a rigger with no structured training and different answers depending on who I asked.</w:t>
            </w:r>
          </w:p>
          <w:p>
            <w:pPr>
              <w:spacing w:after="160" w:line="283" w:lineRule="auto"/>
            </w:pPr>
            <w:r>
              <w:rPr>
                <w:rFonts w:ascii="Aptos" w:hAnsi="Aptos"/>
                <w:b w:val="0"/>
                <w:color w:val="17212B"/>
                <w:sz w:val="19"/>
              </w:rPr>
              <w:t>I came up as an ironworker, spent more than 15 years running crews, earned my CHST, and built systems for high-consequence work.</w:t>
            </w:r>
          </w:p>
          <w:p>
            <w:pPr>
              <w:spacing w:after="160" w:line="283" w:lineRule="auto"/>
            </w:pPr>
            <w:r>
              <w:rPr>
                <w:rFonts w:ascii="Aptos" w:hAnsi="Aptos"/>
                <w:b/>
                <w:color w:val="142436"/>
                <w:sz w:val="22"/>
              </w:rPr>
              <w:t>That work taught me a simple lesson: effort matters, but a reliable system is what makes hard work last.</w:t>
            </w:r>
          </w:p>
          <w:p>
            <w:pPr>
              <w:spacing w:after="160" w:line="283" w:lineRule="auto"/>
            </w:pPr>
            <w:r>
              <w:rPr>
                <w:rFonts w:ascii="Aptos" w:hAnsi="Aptos"/>
                <w:b w:val="0"/>
                <w:color w:val="17212B"/>
                <w:sz w:val="19"/>
              </w:rPr>
              <w:t>Blue Collar Wealth applies that same principle to money. Working families do not need another lecture about working harder. They need clear steps that protect the paycheck, give overtime a purpose, and turn today’s work into tomorrow’s choices.</w:t>
            </w:r>
          </w:p>
        </w:tc>
      </w:tr>
    </w:tbl>
    <w:p/>
    <w:tbl>
      <w:tblPr>
        <w:tblW w:type="auto" w:w="0"/>
        <w:jc w:val="left"/>
        <w:tblLayout w:type="fixed"/>
        <w:tblLook w:firstColumn="1" w:firstRow="1" w:lastColumn="0" w:lastRow="0" w:noHBand="0" w:noVBand="1" w:val="04A0"/>
      </w:tblPr>
      <w:tblGrid>
        <w:gridCol w:w="173"/>
        <w:gridCol w:w="9619"/>
      </w:tblGrid>
      <w:tr>
        <w:tc>
          <w:tcPr>
            <w:tcW w:type="dxa" w:w="5083"/>
            <w:tcBorders>
              <w:top w:val="nil"/>
              <w:left w:val="nil"/>
              <w:bottom w:val="nil"/>
              <w:right w:val="nil"/>
            </w:tcBorders>
            <w:shd w:fill="F2B842"/>
            <w:tcMar>
              <w:top w:w="0" w:type="dxa"/>
              <w:start w:w="0" w:type="dxa"/>
              <w:bottom w:w="0" w:type="dxa"/>
              <w:end w:w="0" w:type="dxa"/>
            </w:tcMar>
          </w:tcPr>
          <w:p/>
        </w:tc>
        <w:tc>
          <w:tcPr>
            <w:tcW w:type="dxa" w:w="5083"/>
            <w:tcBorders>
              <w:top w:val="nil"/>
              <w:left w:val="nil"/>
              <w:bottom w:val="nil"/>
              <w:right w:val="nil"/>
            </w:tcBorders>
            <w:shd w:fill="E8EEF1"/>
            <w:tcMar>
              <w:top w:w="145" w:type="dxa"/>
              <w:start w:w="180" w:type="dxa"/>
              <w:bottom w:w="145" w:type="dxa"/>
              <w:end w:w="180" w:type="dxa"/>
            </w:tcMar>
          </w:tcPr>
          <w:p>
            <w:pPr>
              <w:spacing w:after="80"/>
            </w:pPr>
            <w:r>
              <w:rPr>
                <w:rFonts w:ascii="Aptos" w:hAnsi="Aptos"/>
                <w:b/>
                <w:color w:val="142436"/>
                <w:sz w:val="16"/>
              </w:rPr>
              <w:t>THE PROMISE</w:t>
            </w:r>
          </w:p>
          <w:p>
            <w:pPr>
              <w:spacing w:after="0" w:line="276" w:lineRule="auto"/>
            </w:pPr>
            <w:r>
              <w:rPr>
                <w:rFonts w:ascii="Aptos" w:hAnsi="Aptos"/>
                <w:b w:val="0"/>
                <w:color w:val="17212B"/>
                <w:sz w:val="18"/>
              </w:rPr>
              <w:t>Blue Collar Wealth turns hard-earned, often uneven income into a household system that creates stability, protection, ownership, and choices.</w:t>
            </w:r>
          </w:p>
        </w:tc>
      </w:tr>
    </w:tbl>
    <w:p>
      <w:pPr>
        <w:keepNext/>
        <w:spacing w:after="100"/>
      </w:pPr>
      <w:r>
        <w:rPr>
          <w:rFonts w:ascii="Aptos" w:hAnsi="Aptos"/>
          <w:b/>
          <w:color w:val="2E6D8F"/>
          <w:sz w:val="17"/>
        </w:rPr>
        <w:t>WHAT THIS GUIDE IS—AND IS NOT</w:t>
      </w:r>
    </w:p>
    <w:p>
      <w:pPr>
        <w:spacing w:after="140" w:line="283" w:lineRule="auto"/>
      </w:pPr>
      <w:r>
        <w:rPr>
          <w:rFonts w:ascii="Aptos" w:hAnsi="Aptos"/>
          <w:b w:val="0"/>
          <w:color w:val="17212B"/>
          <w:sz w:val="19"/>
        </w:rPr>
        <w:t>It is a starting framework for asking better questions and building a repeatable investing process. It is not a recommendation to buy a specific stock, fund, account, insurance product, or strategy.</w:t>
      </w:r>
    </w:p>
    <w:p>
      <w:r>
        <w:br w:type="page"/>
      </w:r>
    </w:p>
    <w:tbl>
      <w:tblPr>
        <w:tblW w:type="auto" w:w="0"/>
        <w:jc w:val="left"/>
        <w:tblLayout w:type="fixed"/>
        <w:tblLook w:firstColumn="1" w:firstRow="1" w:lastColumn="0" w:lastRow="0" w:noHBand="0" w:noVBand="1" w:val="04A0"/>
      </w:tblPr>
      <w:tblGrid>
        <w:gridCol w:w="1037"/>
        <w:gridCol w:w="8712"/>
      </w:tblGrid>
      <w:tr>
        <w:tc>
          <w:tcPr>
            <w:tcW w:type="dxa" w:w="5083"/>
            <w:tcBorders>
              <w:top w:val="nil"/>
              <w:left w:val="nil"/>
              <w:bottom w:val="nil"/>
              <w:right w:val="nil"/>
            </w:tcBorders>
            <w:shd w:fill="F2B842"/>
            <w:tcMar>
              <w:top w:w="120" w:type="dxa"/>
              <w:start w:w="60" w:type="dxa"/>
              <w:bottom w:w="120" w:type="dxa"/>
              <w:end w:w="60" w:type="dxa"/>
            </w:tcMar>
            <w:vAlign w:val="center"/>
          </w:tcPr>
          <w:p>
            <w:pPr>
              <w:jc w:val="center"/>
            </w:pPr>
            <w:r>
              <w:rPr>
                <w:rFonts w:ascii="Arial Narrow" w:hAnsi="Arial Narrow"/>
                <w:b/>
                <w:color w:val="142436"/>
                <w:sz w:val="42"/>
              </w:rPr>
              <w:t>MAP</w:t>
            </w:r>
          </w:p>
        </w:tc>
        <w:tc>
          <w:tcPr>
            <w:tcW w:type="dxa" w:w="5083"/>
            <w:tcBorders>
              <w:top w:val="nil"/>
              <w:left w:val="nil"/>
              <w:bottom w:val="nil"/>
              <w:right w:val="nil"/>
            </w:tcBorders>
            <w:tcMar>
              <w:top w:w="20" w:type="dxa"/>
              <w:start w:w="180" w:type="dxa"/>
              <w:bottom w:w="0" w:type="dxa"/>
              <w:end w:w="0" w:type="dxa"/>
            </w:tcMar>
          </w:tcPr>
          <w:p>
            <w:pPr>
              <w:spacing w:after="80"/>
            </w:pPr>
            <w:r>
              <w:rPr>
                <w:rFonts w:ascii="Aptos" w:hAnsi="Aptos"/>
                <w:b/>
                <w:color w:val="2E6D8F"/>
                <w:sz w:val="16"/>
              </w:rPr>
              <w:t>THE BLUE COLLAR WEALTH SEQUENCE</w:t>
            </w:r>
          </w:p>
          <w:p>
            <w:pPr>
              <w:spacing w:after="0"/>
            </w:pPr>
            <w:r>
              <w:rPr>
                <w:rFonts w:ascii="Arial Narrow" w:hAnsi="Arial Narrow"/>
                <w:b/>
                <w:caps/>
                <w:color w:val="000000"/>
                <w:sz w:val="51"/>
              </w:rPr>
              <w:t>Investing is not step one. Ownership is still the destination.</w:t>
            </w:r>
          </w:p>
        </w:tc>
      </w:tr>
    </w:tbl>
    <w:p>
      <w:pPr>
        <w:spacing w:before="300" w:after="280" w:line="276" w:lineRule="auto"/>
      </w:pPr>
      <w:r>
        <w:rPr>
          <w:rFonts w:ascii="Aptos" w:hAnsi="Aptos"/>
          <w:b w:val="0"/>
          <w:color w:val="5D6871"/>
          <w:sz w:val="23"/>
        </w:rPr>
        <w:t>Build each layer in order. If a lower layer cracks, stop and repair it before adding more risk above it.</w:t>
      </w:r>
    </w:p>
    <w:tbl>
      <w:tblPr>
        <w:tblW w:type="auto" w:w="0"/>
        <w:jc w:val="left"/>
        <w:tblLayout w:type="fixed"/>
        <w:tblLook w:firstColumn="1" w:firstRow="1" w:lastColumn="0" w:lastRow="0" w:noHBand="0" w:noVBand="1" w:val="04A0"/>
      </w:tblPr>
      <w:tblGrid>
        <w:gridCol w:w="2541"/>
        <w:gridCol w:w="2541"/>
        <w:gridCol w:w="2541"/>
        <w:gridCol w:w="2541"/>
      </w:tblGrid>
      <w:tr>
        <w:tc>
          <w:tcPr>
            <w:tcW w:type="dxa" w:w="792"/>
            <w:tcMar>
              <w:top w:w="120" w:type="dxa"/>
              <w:start w:w="90" w:type="dxa"/>
              <w:bottom w:w="120" w:type="dxa"/>
              <w:end w:w="90" w:type="dxa"/>
            </w:tcMar>
            <w:shd w:fill="F4F1E9"/>
            <w:tcBorders>
              <w:bottom w:val="single" w:sz="4" w:color="FFFFFF"/>
            </w:tcBorders>
          </w:tcPr>
          <w:p>
            <w:r>
              <w:rPr>
                <w:rFonts w:ascii="Arial Narrow" w:hAnsi="Arial Narrow"/>
                <w:b/>
                <w:color w:val="F2B842"/>
                <w:sz w:val="24"/>
              </w:rPr>
              <w:t>01</w:t>
            </w:r>
          </w:p>
        </w:tc>
        <w:tc>
          <w:tcPr>
            <w:tcW w:type="dxa" w:w="1512"/>
            <w:tcMar>
              <w:top w:w="120" w:type="dxa"/>
              <w:start w:w="90" w:type="dxa"/>
              <w:bottom w:w="120" w:type="dxa"/>
              <w:end w:w="90" w:type="dxa"/>
            </w:tcMar>
            <w:shd w:fill="F4F1E9"/>
            <w:tcBorders>
              <w:bottom w:val="single" w:sz="4" w:color="FFFFFF"/>
            </w:tcBorders>
          </w:tcPr>
          <w:p>
            <w:r>
              <w:rPr>
                <w:rFonts w:ascii="Aptos" w:hAnsi="Aptos"/>
                <w:b/>
                <w:color w:val="2E6D8F"/>
                <w:sz w:val="16"/>
              </w:rPr>
              <w:t>SURVIVAL</w:t>
            </w:r>
          </w:p>
        </w:tc>
        <w:tc>
          <w:tcPr>
            <w:tcW w:type="dxa" w:w="2880"/>
            <w:tcMar>
              <w:top w:w="120" w:type="dxa"/>
              <w:start w:w="90" w:type="dxa"/>
              <w:bottom w:w="120" w:type="dxa"/>
              <w:end w:w="90" w:type="dxa"/>
            </w:tcMar>
            <w:shd w:fill="F4F1E9"/>
            <w:tcBorders>
              <w:bottom w:val="single" w:sz="4" w:color="FFFFFF"/>
            </w:tcBorders>
          </w:tcPr>
          <w:p>
            <w:r>
              <w:rPr>
                <w:rFonts w:ascii="Aptos" w:hAnsi="Aptos"/>
                <w:b/>
                <w:color w:val="142436"/>
                <w:sz w:val="18"/>
              </w:rPr>
              <w:t>Know the household floor</w:t>
            </w:r>
          </w:p>
        </w:tc>
        <w:tc>
          <w:tcPr>
            <w:tcW w:type="dxa" w:w="4464"/>
            <w:tcMar>
              <w:top w:w="120" w:type="dxa"/>
              <w:start w:w="90" w:type="dxa"/>
              <w:bottom w:w="120" w:type="dxa"/>
              <w:end w:w="90" w:type="dxa"/>
            </w:tcMar>
            <w:shd w:fill="F4F1E9"/>
            <w:tcBorders>
              <w:bottom w:val="single" w:sz="4" w:color="FFFFFF"/>
            </w:tcBorders>
          </w:tcPr>
          <w:p>
            <w:r>
              <w:rPr>
                <w:rFonts w:ascii="Aptos" w:hAnsi="Aptos"/>
                <w:b w:val="0"/>
                <w:color w:val="17212B"/>
                <w:sz w:val="16"/>
              </w:rPr>
              <w:t>Essential life is built around dependable take-home pay.</w:t>
            </w:r>
          </w:p>
        </w:tc>
      </w:tr>
      <w:tr>
        <w:tc>
          <w:tcPr>
            <w:tcW w:type="dxa" w:w="792"/>
            <w:tcMar>
              <w:top w:w="120" w:type="dxa"/>
              <w:start w:w="90" w:type="dxa"/>
              <w:bottom w:w="120" w:type="dxa"/>
              <w:end w:w="90" w:type="dxa"/>
            </w:tcMar>
            <w:shd w:fill="E8EEF1"/>
            <w:tcBorders>
              <w:bottom w:val="single" w:sz="4" w:color="FFFFFF"/>
            </w:tcBorders>
          </w:tcPr>
          <w:p>
            <w:r>
              <w:rPr>
                <w:rFonts w:ascii="Arial Narrow" w:hAnsi="Arial Narrow"/>
                <w:b/>
                <w:color w:val="F2B842"/>
                <w:sz w:val="24"/>
              </w:rPr>
              <w:t>02</w:t>
            </w:r>
          </w:p>
        </w:tc>
        <w:tc>
          <w:tcPr>
            <w:tcW w:type="dxa" w:w="1512"/>
            <w:tcMar>
              <w:top w:w="120" w:type="dxa"/>
              <w:start w:w="90" w:type="dxa"/>
              <w:bottom w:w="120" w:type="dxa"/>
              <w:end w:w="90" w:type="dxa"/>
            </w:tcMar>
            <w:shd w:fill="E8EEF1"/>
            <w:tcBorders>
              <w:bottom w:val="single" w:sz="4" w:color="FFFFFF"/>
            </w:tcBorders>
          </w:tcPr>
          <w:p>
            <w:r>
              <w:rPr>
                <w:rFonts w:ascii="Aptos" w:hAnsi="Aptos"/>
                <w:b/>
                <w:color w:val="2E6D8F"/>
                <w:sz w:val="16"/>
              </w:rPr>
              <w:t>CONTROL</w:t>
            </w:r>
          </w:p>
        </w:tc>
        <w:tc>
          <w:tcPr>
            <w:tcW w:type="dxa" w:w="2880"/>
            <w:tcMar>
              <w:top w:w="120" w:type="dxa"/>
              <w:start w:w="90" w:type="dxa"/>
              <w:bottom w:w="120" w:type="dxa"/>
              <w:end w:w="90" w:type="dxa"/>
            </w:tcMar>
            <w:shd w:fill="E8EEF1"/>
            <w:tcBorders>
              <w:bottom w:val="single" w:sz="4" w:color="FFFFFF"/>
            </w:tcBorders>
          </w:tcPr>
          <w:p>
            <w:r>
              <w:rPr>
                <w:rFonts w:ascii="Aptos" w:hAnsi="Aptos"/>
                <w:b/>
                <w:color w:val="142436"/>
                <w:sz w:val="18"/>
              </w:rPr>
              <w:t>Give every check a job</w:t>
            </w:r>
          </w:p>
        </w:tc>
        <w:tc>
          <w:tcPr>
            <w:tcW w:type="dxa" w:w="4464"/>
            <w:tcMar>
              <w:top w:w="120" w:type="dxa"/>
              <w:start w:w="90" w:type="dxa"/>
              <w:bottom w:w="120" w:type="dxa"/>
              <w:end w:w="90" w:type="dxa"/>
            </w:tcMar>
            <w:shd w:fill="E8EEF1"/>
            <w:tcBorders>
              <w:bottom w:val="single" w:sz="4" w:color="FFFFFF"/>
            </w:tcBorders>
          </w:tcPr>
          <w:p>
            <w:r>
              <w:rPr>
                <w:rFonts w:ascii="Aptos" w:hAnsi="Aptos"/>
                <w:b w:val="0"/>
                <w:color w:val="17212B"/>
                <w:sz w:val="16"/>
              </w:rPr>
              <w:t>Due dates are protected before money is treated as flexible.</w:t>
            </w:r>
          </w:p>
        </w:tc>
      </w:tr>
      <w:tr>
        <w:tc>
          <w:tcPr>
            <w:tcW w:type="dxa" w:w="792"/>
            <w:tcMar>
              <w:top w:w="120" w:type="dxa"/>
              <w:start w:w="90" w:type="dxa"/>
              <w:bottom w:w="120" w:type="dxa"/>
              <w:end w:w="90" w:type="dxa"/>
            </w:tcMar>
            <w:shd w:fill="F4F1E9"/>
            <w:tcBorders>
              <w:bottom w:val="single" w:sz="4" w:color="FFFFFF"/>
            </w:tcBorders>
          </w:tcPr>
          <w:p>
            <w:r>
              <w:rPr>
                <w:rFonts w:ascii="Arial Narrow" w:hAnsi="Arial Narrow"/>
                <w:b/>
                <w:color w:val="F2B842"/>
                <w:sz w:val="24"/>
              </w:rPr>
              <w:t>03</w:t>
            </w:r>
          </w:p>
        </w:tc>
        <w:tc>
          <w:tcPr>
            <w:tcW w:type="dxa" w:w="1512"/>
            <w:tcMar>
              <w:top w:w="120" w:type="dxa"/>
              <w:start w:w="90" w:type="dxa"/>
              <w:bottom w:w="120" w:type="dxa"/>
              <w:end w:w="90" w:type="dxa"/>
            </w:tcMar>
            <w:shd w:fill="F4F1E9"/>
            <w:tcBorders>
              <w:bottom w:val="single" w:sz="4" w:color="FFFFFF"/>
            </w:tcBorders>
          </w:tcPr>
          <w:p>
            <w:r>
              <w:rPr>
                <w:rFonts w:ascii="Aptos" w:hAnsi="Aptos"/>
                <w:b/>
                <w:color w:val="2E6D8F"/>
                <w:sz w:val="16"/>
              </w:rPr>
              <w:t>STABILITY</w:t>
            </w:r>
          </w:p>
        </w:tc>
        <w:tc>
          <w:tcPr>
            <w:tcW w:type="dxa" w:w="2880"/>
            <w:tcMar>
              <w:top w:w="120" w:type="dxa"/>
              <w:start w:w="90" w:type="dxa"/>
              <w:bottom w:w="120" w:type="dxa"/>
              <w:end w:w="90" w:type="dxa"/>
            </w:tcMar>
            <w:shd w:fill="F4F1E9"/>
            <w:tcBorders>
              <w:bottom w:val="single" w:sz="4" w:color="FFFFFF"/>
            </w:tcBorders>
          </w:tcPr>
          <w:p>
            <w:r>
              <w:rPr>
                <w:rFonts w:ascii="Aptos" w:hAnsi="Aptos"/>
                <w:b/>
                <w:color w:val="142436"/>
                <w:sz w:val="18"/>
              </w:rPr>
              <w:t>Build shock absorption</w:t>
            </w:r>
          </w:p>
        </w:tc>
        <w:tc>
          <w:tcPr>
            <w:tcW w:type="dxa" w:w="4464"/>
            <w:tcMar>
              <w:top w:w="120" w:type="dxa"/>
              <w:start w:w="90" w:type="dxa"/>
              <w:bottom w:w="120" w:type="dxa"/>
              <w:end w:w="90" w:type="dxa"/>
            </w:tcMar>
            <w:shd w:fill="F4F1E9"/>
            <w:tcBorders>
              <w:bottom w:val="single" w:sz="4" w:color="FFFFFF"/>
            </w:tcBorders>
          </w:tcPr>
          <w:p>
            <w:r>
              <w:rPr>
                <w:rFonts w:ascii="Aptos" w:hAnsi="Aptos"/>
                <w:b w:val="0"/>
                <w:color w:val="17212B"/>
                <w:sz w:val="16"/>
              </w:rPr>
              <w:t>Slow weeks, repairs, and missed shifts have a cash plan.</w:t>
            </w:r>
          </w:p>
        </w:tc>
      </w:tr>
      <w:tr>
        <w:tc>
          <w:tcPr>
            <w:tcW w:type="dxa" w:w="792"/>
            <w:tcMar>
              <w:top w:w="120" w:type="dxa"/>
              <w:start w:w="90" w:type="dxa"/>
              <w:bottom w:w="120" w:type="dxa"/>
              <w:end w:w="90" w:type="dxa"/>
            </w:tcMar>
            <w:shd w:fill="E8EEF1"/>
            <w:tcBorders>
              <w:bottom w:val="single" w:sz="4" w:color="FFFFFF"/>
            </w:tcBorders>
          </w:tcPr>
          <w:p>
            <w:r>
              <w:rPr>
                <w:rFonts w:ascii="Arial Narrow" w:hAnsi="Arial Narrow"/>
                <w:b/>
                <w:color w:val="F2B842"/>
                <w:sz w:val="24"/>
              </w:rPr>
              <w:t>04</w:t>
            </w:r>
          </w:p>
        </w:tc>
        <w:tc>
          <w:tcPr>
            <w:tcW w:type="dxa" w:w="1512"/>
            <w:tcMar>
              <w:top w:w="120" w:type="dxa"/>
              <w:start w:w="90" w:type="dxa"/>
              <w:bottom w:w="120" w:type="dxa"/>
              <w:end w:w="90" w:type="dxa"/>
            </w:tcMar>
            <w:shd w:fill="E8EEF1"/>
            <w:tcBorders>
              <w:bottom w:val="single" w:sz="4" w:color="FFFFFF"/>
            </w:tcBorders>
          </w:tcPr>
          <w:p>
            <w:r>
              <w:rPr>
                <w:rFonts w:ascii="Aptos" w:hAnsi="Aptos"/>
                <w:b/>
                <w:color w:val="2E6D8F"/>
                <w:sz w:val="16"/>
              </w:rPr>
              <w:t>OWNERSHIP</w:t>
            </w:r>
          </w:p>
        </w:tc>
        <w:tc>
          <w:tcPr>
            <w:tcW w:type="dxa" w:w="2880"/>
            <w:tcMar>
              <w:top w:w="120" w:type="dxa"/>
              <w:start w:w="90" w:type="dxa"/>
              <w:bottom w:w="120" w:type="dxa"/>
              <w:end w:w="90" w:type="dxa"/>
            </w:tcMar>
            <w:shd w:fill="E8EEF1"/>
            <w:tcBorders>
              <w:bottom w:val="single" w:sz="4" w:color="FFFFFF"/>
            </w:tcBorders>
          </w:tcPr>
          <w:p>
            <w:r>
              <w:rPr>
                <w:rFonts w:ascii="Aptos" w:hAnsi="Aptos"/>
                <w:b/>
                <w:color w:val="142436"/>
                <w:sz w:val="18"/>
              </w:rPr>
              <w:t>Put money to work</w:t>
            </w:r>
          </w:p>
        </w:tc>
        <w:tc>
          <w:tcPr>
            <w:tcW w:type="dxa" w:w="4464"/>
            <w:tcMar>
              <w:top w:w="120" w:type="dxa"/>
              <w:start w:w="90" w:type="dxa"/>
              <w:bottom w:w="120" w:type="dxa"/>
              <w:end w:w="90" w:type="dxa"/>
            </w:tcMar>
            <w:shd w:fill="E8EEF1"/>
            <w:tcBorders>
              <w:bottom w:val="single" w:sz="4" w:color="FFFFFF"/>
            </w:tcBorders>
          </w:tcPr>
          <w:p>
            <w:r>
              <w:rPr>
                <w:rFonts w:ascii="Aptos" w:hAnsi="Aptos"/>
                <w:b w:val="0"/>
                <w:color w:val="17212B"/>
                <w:sz w:val="16"/>
              </w:rPr>
              <w:t>Long-term assets begin working beside the paycheck.</w:t>
            </w:r>
          </w:p>
        </w:tc>
      </w:tr>
      <w:tr>
        <w:tc>
          <w:tcPr>
            <w:tcW w:type="dxa" w:w="792"/>
            <w:tcMar>
              <w:top w:w="120" w:type="dxa"/>
              <w:start w:w="90" w:type="dxa"/>
              <w:bottom w:w="120" w:type="dxa"/>
              <w:end w:w="90" w:type="dxa"/>
            </w:tcMar>
            <w:shd w:fill="F4F1E9"/>
            <w:tcBorders>
              <w:bottom w:val="single" w:sz="4" w:color="FFFFFF"/>
            </w:tcBorders>
          </w:tcPr>
          <w:p>
            <w:r>
              <w:rPr>
                <w:rFonts w:ascii="Arial Narrow" w:hAnsi="Arial Narrow"/>
                <w:b/>
                <w:color w:val="F2B842"/>
                <w:sz w:val="24"/>
              </w:rPr>
              <w:t>05</w:t>
            </w:r>
          </w:p>
        </w:tc>
        <w:tc>
          <w:tcPr>
            <w:tcW w:type="dxa" w:w="1512"/>
            <w:tcMar>
              <w:top w:w="120" w:type="dxa"/>
              <w:start w:w="90" w:type="dxa"/>
              <w:bottom w:w="120" w:type="dxa"/>
              <w:end w:w="90" w:type="dxa"/>
            </w:tcMar>
            <w:shd w:fill="F4F1E9"/>
            <w:tcBorders>
              <w:bottom w:val="single" w:sz="4" w:color="FFFFFF"/>
            </w:tcBorders>
          </w:tcPr>
          <w:p>
            <w:r>
              <w:rPr>
                <w:rFonts w:ascii="Aptos" w:hAnsi="Aptos"/>
                <w:b/>
                <w:color w:val="2E6D8F"/>
                <w:sz w:val="16"/>
              </w:rPr>
              <w:t>FREEDOM</w:t>
            </w:r>
          </w:p>
        </w:tc>
        <w:tc>
          <w:tcPr>
            <w:tcW w:type="dxa" w:w="2880"/>
            <w:tcMar>
              <w:top w:w="120" w:type="dxa"/>
              <w:start w:w="90" w:type="dxa"/>
              <w:bottom w:w="120" w:type="dxa"/>
              <w:end w:w="90" w:type="dxa"/>
            </w:tcMar>
            <w:shd w:fill="F4F1E9"/>
            <w:tcBorders>
              <w:bottom w:val="single" w:sz="4" w:color="FFFFFF"/>
            </w:tcBorders>
          </w:tcPr>
          <w:p>
            <w:r>
              <w:rPr>
                <w:rFonts w:ascii="Aptos" w:hAnsi="Aptos"/>
                <w:b/>
                <w:color w:val="142436"/>
                <w:sz w:val="18"/>
              </w:rPr>
              <w:t>Buy back choices</w:t>
            </w:r>
          </w:p>
        </w:tc>
        <w:tc>
          <w:tcPr>
            <w:tcW w:type="dxa" w:w="4464"/>
            <w:tcMar>
              <w:top w:w="120" w:type="dxa"/>
              <w:start w:w="90" w:type="dxa"/>
              <w:bottom w:w="120" w:type="dxa"/>
              <w:end w:w="90" w:type="dxa"/>
            </w:tcMar>
            <w:shd w:fill="F4F1E9"/>
            <w:tcBorders>
              <w:bottom w:val="single" w:sz="4" w:color="FFFFFF"/>
            </w:tcBorders>
          </w:tcPr>
          <w:p>
            <w:r>
              <w:rPr>
                <w:rFonts w:ascii="Aptos" w:hAnsi="Aptos"/>
                <w:b w:val="0"/>
                <w:color w:val="17212B"/>
                <w:sz w:val="16"/>
              </w:rPr>
              <w:t>The family gains time, resilience, and room to change direction.</w:t>
            </w:r>
          </w:p>
        </w:tc>
      </w:tr>
    </w:tbl>
    <w:p/>
    <w:tbl>
      <w:tblPr>
        <w:tblW w:type="auto" w:w="0"/>
        <w:jc w:val="left"/>
        <w:tblLayout w:type="fixed"/>
        <w:tblLook w:firstColumn="1" w:firstRow="1" w:lastColumn="0" w:lastRow="0" w:noHBand="0" w:noVBand="1" w:val="04A0"/>
      </w:tblPr>
      <w:tblGrid>
        <w:gridCol w:w="173"/>
        <w:gridCol w:w="9619"/>
      </w:tblGrid>
      <w:tr>
        <w:tc>
          <w:tcPr>
            <w:tcW w:type="dxa" w:w="5083"/>
            <w:tcBorders>
              <w:top w:val="nil"/>
              <w:left w:val="nil"/>
              <w:bottom w:val="nil"/>
              <w:right w:val="nil"/>
            </w:tcBorders>
            <w:shd w:fill="F2B842"/>
            <w:tcMar>
              <w:top w:w="0" w:type="dxa"/>
              <w:start w:w="0" w:type="dxa"/>
              <w:bottom w:w="0" w:type="dxa"/>
              <w:end w:w="0" w:type="dxa"/>
            </w:tcMar>
          </w:tcPr>
          <w:p/>
        </w:tc>
        <w:tc>
          <w:tcPr>
            <w:tcW w:type="dxa" w:w="5083"/>
            <w:tcBorders>
              <w:top w:val="nil"/>
              <w:left w:val="nil"/>
              <w:bottom w:val="nil"/>
              <w:right w:val="nil"/>
            </w:tcBorders>
            <w:shd w:fill="E8EEF1"/>
            <w:tcMar>
              <w:top w:w="145" w:type="dxa"/>
              <w:start w:w="180" w:type="dxa"/>
              <w:bottom w:w="145" w:type="dxa"/>
              <w:end w:w="180" w:type="dxa"/>
            </w:tcMar>
          </w:tcPr>
          <w:p>
            <w:pPr>
              <w:spacing w:after="80"/>
            </w:pPr>
            <w:r>
              <w:rPr>
                <w:rFonts w:ascii="Aptos" w:hAnsi="Aptos"/>
                <w:b/>
                <w:color w:val="142436"/>
                <w:sz w:val="16"/>
              </w:rPr>
              <w:t>THE IDENTITY SHIFT</w:t>
            </w:r>
          </w:p>
          <w:p>
            <w:pPr>
              <w:spacing w:after="0" w:line="276" w:lineRule="auto"/>
            </w:pPr>
            <w:r>
              <w:rPr>
                <w:rFonts w:ascii="Aptos" w:hAnsi="Aptos"/>
                <w:b w:val="0"/>
                <w:color w:val="17212B"/>
                <w:sz w:val="18"/>
              </w:rPr>
              <w:t>From skilled earner with exposure → provider with a system, a buffer, productive assets, and a family plan.</w:t>
            </w:r>
          </w:p>
        </w:tc>
      </w:tr>
    </w:tbl>
    <w:p>
      <w:pPr>
        <w:keepNext/>
        <w:spacing w:after="100"/>
      </w:pPr>
      <w:r>
        <w:rPr>
          <w:rFonts w:ascii="Aptos" w:hAnsi="Aptos"/>
          <w:b/>
          <w:color w:val="2E6D8F"/>
          <w:sz w:val="17"/>
        </w:rPr>
        <w:t>HOW TO USE THE NEXT 30 DAYS</w:t>
      </w:r>
    </w:p>
    <w:tbl>
      <w:tblPr>
        <w:tblW w:type="auto" w:w="0"/>
        <w:jc w:val="left"/>
        <w:tblLayout w:type="fixed"/>
        <w:tblLook w:firstColumn="1" w:firstRow="1" w:lastColumn="0" w:lastRow="0" w:noHBand="0" w:noVBand="1" w:val="04A0"/>
      </w:tblPr>
      <w:tblGrid>
        <w:gridCol w:w="346"/>
        <w:gridCol w:w="9432"/>
      </w:tblGrid>
      <w:tr>
        <w:tc>
          <w:tcPr>
            <w:tcW w:type="dxa" w:w="5083"/>
            <w:tcBorders>
              <w:top w:val="nil"/>
              <w:left w:val="nil"/>
              <w:bottom w:val="nil"/>
              <w:right w:val="nil"/>
            </w:tcBorders>
            <w:tcMar>
              <w:top w:w="20" w:type="dxa"/>
              <w:start w:w="0" w:type="dxa"/>
              <w:bottom w:w="15" w:type="dxa"/>
              <w:end w:w="25" w:type="dxa"/>
            </w:tcMar>
          </w:tcPr>
          <w:p>
            <w:r>
              <w:rPr>
                <w:rFonts w:ascii="Aptos" w:hAnsi="Aptos"/>
                <w:b/>
                <w:color w:val="F2B842"/>
                <w:sz w:val="16"/>
              </w:rPr>
              <w:t>■</w:t>
            </w:r>
          </w:p>
        </w:tc>
        <w:tc>
          <w:tcPr>
            <w:tcW w:type="dxa" w:w="5083"/>
            <w:tcBorders>
              <w:top w:val="nil"/>
              <w:left w:val="nil"/>
              <w:bottom w:val="nil"/>
              <w:right w:val="nil"/>
            </w:tcBorders>
            <w:tcMar>
              <w:top w:w="20" w:type="dxa"/>
              <w:start w:w="0" w:type="dxa"/>
              <w:bottom w:w="15" w:type="dxa"/>
              <w:end w:w="0" w:type="dxa"/>
            </w:tcMar>
          </w:tcPr>
          <w:p>
            <w:pPr>
              <w:spacing w:line="269" w:lineRule="auto"/>
            </w:pPr>
            <w:r>
              <w:rPr>
                <w:rFonts w:ascii="Aptos" w:hAnsi="Aptos"/>
                <w:b w:val="0"/>
                <w:color w:val="17212B"/>
                <w:sz w:val="18"/>
              </w:rPr>
              <w:t>Read one work order at a time. Do not race ahead because the investing section feels more exciting.</w:t>
            </w:r>
          </w:p>
        </w:tc>
      </w:tr>
    </w:tbl>
    <w:tbl>
      <w:tblPr>
        <w:tblW w:type="auto" w:w="0"/>
        <w:jc w:val="left"/>
        <w:tblLayout w:type="fixed"/>
        <w:tblLook w:firstColumn="1" w:firstRow="1" w:lastColumn="0" w:lastRow="0" w:noHBand="0" w:noVBand="1" w:val="04A0"/>
      </w:tblPr>
      <w:tblGrid>
        <w:gridCol w:w="346"/>
        <w:gridCol w:w="9432"/>
      </w:tblGrid>
      <w:tr>
        <w:tc>
          <w:tcPr>
            <w:tcW w:type="dxa" w:w="5083"/>
            <w:tcBorders>
              <w:top w:val="nil"/>
              <w:left w:val="nil"/>
              <w:bottom w:val="nil"/>
              <w:right w:val="nil"/>
            </w:tcBorders>
            <w:tcMar>
              <w:top w:w="20" w:type="dxa"/>
              <w:start w:w="0" w:type="dxa"/>
              <w:bottom w:w="15" w:type="dxa"/>
              <w:end w:w="25" w:type="dxa"/>
            </w:tcMar>
          </w:tcPr>
          <w:p>
            <w:r>
              <w:rPr>
                <w:rFonts w:ascii="Aptos" w:hAnsi="Aptos"/>
                <w:b/>
                <w:color w:val="F2B842"/>
                <w:sz w:val="16"/>
              </w:rPr>
              <w:t>■</w:t>
            </w:r>
          </w:p>
        </w:tc>
        <w:tc>
          <w:tcPr>
            <w:tcW w:type="dxa" w:w="5083"/>
            <w:tcBorders>
              <w:top w:val="nil"/>
              <w:left w:val="nil"/>
              <w:bottom w:val="nil"/>
              <w:right w:val="nil"/>
            </w:tcBorders>
            <w:tcMar>
              <w:top w:w="20" w:type="dxa"/>
              <w:start w:w="0" w:type="dxa"/>
              <w:bottom w:w="15" w:type="dxa"/>
              <w:end w:w="0" w:type="dxa"/>
            </w:tcMar>
          </w:tcPr>
          <w:p>
            <w:pPr>
              <w:spacing w:line="269" w:lineRule="auto"/>
            </w:pPr>
            <w:r>
              <w:rPr>
                <w:rFonts w:ascii="Aptos" w:hAnsi="Aptos"/>
                <w:b w:val="0"/>
                <w:color w:val="17212B"/>
                <w:sz w:val="18"/>
              </w:rPr>
              <w:t>Write the answer in the worksheet before opening an account or placing an order.</w:t>
            </w:r>
          </w:p>
        </w:tc>
      </w:tr>
    </w:tbl>
    <w:tbl>
      <w:tblPr>
        <w:tblW w:type="auto" w:w="0"/>
        <w:jc w:val="left"/>
        <w:tblLayout w:type="fixed"/>
        <w:tblLook w:firstColumn="1" w:firstRow="1" w:lastColumn="0" w:lastRow="0" w:noHBand="0" w:noVBand="1" w:val="04A0"/>
      </w:tblPr>
      <w:tblGrid>
        <w:gridCol w:w="346"/>
        <w:gridCol w:w="9432"/>
      </w:tblGrid>
      <w:tr>
        <w:tc>
          <w:tcPr>
            <w:tcW w:type="dxa" w:w="5083"/>
            <w:tcBorders>
              <w:top w:val="nil"/>
              <w:left w:val="nil"/>
              <w:bottom w:val="nil"/>
              <w:right w:val="nil"/>
            </w:tcBorders>
            <w:tcMar>
              <w:top w:w="20" w:type="dxa"/>
              <w:start w:w="0" w:type="dxa"/>
              <w:bottom w:w="15" w:type="dxa"/>
              <w:end w:w="25" w:type="dxa"/>
            </w:tcMar>
          </w:tcPr>
          <w:p>
            <w:r>
              <w:rPr>
                <w:rFonts w:ascii="Aptos" w:hAnsi="Aptos"/>
                <w:b/>
                <w:color w:val="F2B842"/>
                <w:sz w:val="16"/>
              </w:rPr>
              <w:t>■</w:t>
            </w:r>
          </w:p>
        </w:tc>
        <w:tc>
          <w:tcPr>
            <w:tcW w:type="dxa" w:w="5083"/>
            <w:tcBorders>
              <w:top w:val="nil"/>
              <w:left w:val="nil"/>
              <w:bottom w:val="nil"/>
              <w:right w:val="nil"/>
            </w:tcBorders>
            <w:tcMar>
              <w:top w:w="20" w:type="dxa"/>
              <w:start w:w="0" w:type="dxa"/>
              <w:bottom w:w="15" w:type="dxa"/>
              <w:end w:w="0" w:type="dxa"/>
            </w:tcMar>
          </w:tcPr>
          <w:p>
            <w:pPr>
              <w:spacing w:line="269" w:lineRule="auto"/>
            </w:pPr>
            <w:r>
              <w:rPr>
                <w:rFonts w:ascii="Aptos" w:hAnsi="Aptos"/>
                <w:b w:val="0"/>
                <w:color w:val="17212B"/>
                <w:sz w:val="18"/>
              </w:rPr>
              <w:t>Use official sources and current plan documents. Creator education can explain; it does not control the rule.</w:t>
            </w:r>
          </w:p>
        </w:tc>
      </w:tr>
    </w:tbl>
    <w:tbl>
      <w:tblPr>
        <w:tblW w:type="auto" w:w="0"/>
        <w:jc w:val="left"/>
        <w:tblLayout w:type="fixed"/>
        <w:tblLook w:firstColumn="1" w:firstRow="1" w:lastColumn="0" w:lastRow="0" w:noHBand="0" w:noVBand="1" w:val="04A0"/>
      </w:tblPr>
      <w:tblGrid>
        <w:gridCol w:w="346"/>
        <w:gridCol w:w="9432"/>
      </w:tblGrid>
      <w:tr>
        <w:tc>
          <w:tcPr>
            <w:tcW w:type="dxa" w:w="5083"/>
            <w:tcBorders>
              <w:top w:val="nil"/>
              <w:left w:val="nil"/>
              <w:bottom w:val="nil"/>
              <w:right w:val="nil"/>
            </w:tcBorders>
            <w:tcMar>
              <w:top w:w="20" w:type="dxa"/>
              <w:start w:w="0" w:type="dxa"/>
              <w:bottom w:w="15" w:type="dxa"/>
              <w:end w:w="25" w:type="dxa"/>
            </w:tcMar>
          </w:tcPr>
          <w:p>
            <w:r>
              <w:rPr>
                <w:rFonts w:ascii="Aptos" w:hAnsi="Aptos"/>
                <w:b/>
                <w:color w:val="F2B842"/>
                <w:sz w:val="16"/>
              </w:rPr>
              <w:t>■</w:t>
            </w:r>
          </w:p>
        </w:tc>
        <w:tc>
          <w:tcPr>
            <w:tcW w:type="dxa" w:w="5083"/>
            <w:tcBorders>
              <w:top w:val="nil"/>
              <w:left w:val="nil"/>
              <w:bottom w:val="nil"/>
              <w:right w:val="nil"/>
            </w:tcBorders>
            <w:tcMar>
              <w:top w:w="20" w:type="dxa"/>
              <w:start w:w="0" w:type="dxa"/>
              <w:bottom w:w="15" w:type="dxa"/>
              <w:end w:w="0" w:type="dxa"/>
            </w:tcMar>
          </w:tcPr>
          <w:p>
            <w:pPr>
              <w:spacing w:line="269" w:lineRule="auto"/>
            </w:pPr>
            <w:r>
              <w:rPr>
                <w:rFonts w:ascii="Aptos" w:hAnsi="Aptos"/>
                <w:b w:val="0"/>
                <w:color w:val="17212B"/>
                <w:sz w:val="18"/>
              </w:rPr>
              <w:t>End with one small action that an ordinary paycheck can repeat.</w:t>
            </w:r>
          </w:p>
        </w:tc>
      </w:tr>
    </w:tbl>
    <w:p>
      <w:r>
        <w:br w:type="page"/>
      </w:r>
    </w:p>
    <w:tbl>
      <w:tblPr>
        <w:tblW w:type="auto" w:w="0"/>
        <w:jc w:val="left"/>
        <w:tblLayout w:type="fixed"/>
        <w:tblLook w:firstColumn="1" w:firstRow="1" w:lastColumn="0" w:lastRow="0" w:noHBand="0" w:noVBand="1" w:val="04A0"/>
      </w:tblPr>
      <w:tblGrid>
        <w:gridCol w:w="1037"/>
        <w:gridCol w:w="8712"/>
      </w:tblGrid>
      <w:tr>
        <w:tc>
          <w:tcPr>
            <w:tcW w:type="dxa" w:w="5083"/>
            <w:tcBorders>
              <w:top w:val="nil"/>
              <w:left w:val="nil"/>
              <w:bottom w:val="nil"/>
              <w:right w:val="nil"/>
            </w:tcBorders>
            <w:shd w:fill="F2B842"/>
            <w:tcMar>
              <w:top w:w="120" w:type="dxa"/>
              <w:start w:w="60" w:type="dxa"/>
              <w:bottom w:w="120" w:type="dxa"/>
              <w:end w:w="60" w:type="dxa"/>
            </w:tcMar>
            <w:vAlign w:val="center"/>
          </w:tcPr>
          <w:p>
            <w:pPr>
              <w:jc w:val="center"/>
            </w:pPr>
            <w:r>
              <w:rPr>
                <w:rFonts w:ascii="Arial Narrow" w:hAnsi="Arial Narrow"/>
                <w:b/>
                <w:color w:val="142436"/>
                <w:sz w:val="42"/>
              </w:rPr>
              <w:t>01</w:t>
            </w:r>
          </w:p>
        </w:tc>
        <w:tc>
          <w:tcPr>
            <w:tcW w:type="dxa" w:w="5083"/>
            <w:tcBorders>
              <w:top w:val="nil"/>
              <w:left w:val="nil"/>
              <w:bottom w:val="nil"/>
              <w:right w:val="nil"/>
            </w:tcBorders>
            <w:tcMar>
              <w:top w:w="20" w:type="dxa"/>
              <w:start w:w="180" w:type="dxa"/>
              <w:bottom w:w="0" w:type="dxa"/>
              <w:end w:w="0" w:type="dxa"/>
            </w:tcMar>
          </w:tcPr>
          <w:p>
            <w:pPr>
              <w:spacing w:after="80"/>
            </w:pPr>
            <w:r>
              <w:rPr>
                <w:rFonts w:ascii="Aptos" w:hAnsi="Aptos"/>
                <w:b/>
                <w:color w:val="2E6D8F"/>
                <w:sz w:val="16"/>
              </w:rPr>
              <w:t>THE READINESS GATE</w:t>
            </w:r>
          </w:p>
          <w:p>
            <w:pPr>
              <w:spacing w:after="0"/>
            </w:pPr>
            <w:r>
              <w:rPr>
                <w:rFonts w:ascii="Arial Narrow" w:hAnsi="Arial Narrow"/>
                <w:b/>
                <w:caps/>
                <w:color w:val="000000"/>
                <w:sz w:val="51"/>
              </w:rPr>
              <w:t>Make sure the household can carry the risk.</w:t>
            </w:r>
          </w:p>
        </w:tc>
      </w:tr>
    </w:tbl>
    <w:p>
      <w:pPr>
        <w:spacing w:before="300" w:after="280" w:line="276" w:lineRule="auto"/>
      </w:pPr>
      <w:r>
        <w:rPr>
          <w:rFonts w:ascii="Aptos" w:hAnsi="Aptos"/>
          <w:b w:val="0"/>
          <w:color w:val="5D6871"/>
          <w:sz w:val="23"/>
        </w:rPr>
        <w:t>You do not need perfection. You do need enough stability that a market drop will not force you to sell money needed for the next bill.</w:t>
      </w:r>
    </w:p>
    <w:tbl>
      <w:tblPr>
        <w:tblW w:type="auto" w:w="0"/>
        <w:jc w:val="left"/>
        <w:tblLayout w:type="fixed"/>
        <w:tblLook w:firstColumn="1" w:firstRow="1" w:lastColumn="0" w:lastRow="0" w:noHBand="0" w:noVBand="1" w:val="04A0"/>
      </w:tblPr>
      <w:tblGrid>
        <w:gridCol w:w="5083"/>
        <w:gridCol w:w="5083"/>
      </w:tblGrid>
      <w:tr>
        <w:tc>
          <w:tcPr>
            <w:tcW w:type="dxa" w:w="605"/>
            <w:shd w:fill="F4F1E9"/>
            <w:tcMar>
              <w:top w:w="100" w:type="dxa"/>
              <w:start w:w="110" w:type="dxa"/>
              <w:bottom w:w="100" w:type="dxa"/>
              <w:end w:w="110" w:type="dxa"/>
            </w:tcMar>
            <w:tcBorders>
              <w:bottom w:val="single" w:sz="4" w:color="FFFFFF"/>
            </w:tcBorders>
          </w:tcPr>
          <w:p>
            <w:r>
              <w:rPr>
                <w:rFonts w:ascii="Aptos" w:hAnsi="Aptos"/>
                <w:b w:val="0"/>
                <w:color w:val="2E6D8F"/>
                <w:sz w:val="32"/>
              </w:rPr>
              <w:t>□</w:t>
            </w:r>
          </w:p>
        </w:tc>
        <w:tc>
          <w:tcPr>
            <w:tcW w:type="dxa" w:w="9144"/>
            <w:shd w:fill="F4F1E9"/>
            <w:tcMar>
              <w:top w:w="100" w:type="dxa"/>
              <w:start w:w="110" w:type="dxa"/>
              <w:bottom w:w="100" w:type="dxa"/>
              <w:end w:w="110" w:type="dxa"/>
            </w:tcMar>
            <w:tcBorders>
              <w:bottom w:val="single" w:sz="4" w:color="FFFFFF"/>
            </w:tcBorders>
          </w:tcPr>
          <w:p>
            <w:r>
              <w:rPr>
                <w:rFonts w:ascii="Aptos" w:hAnsi="Aptos"/>
                <w:b/>
                <w:color w:val="142436"/>
                <w:sz w:val="16"/>
              </w:rPr>
              <w:t xml:space="preserve">THE FLOOR  </w:t>
            </w:r>
            <w:r>
              <w:rPr>
                <w:rFonts w:ascii="Aptos" w:hAnsi="Aptos"/>
                <w:b w:val="0"/>
                <w:color w:val="17212B"/>
                <w:sz w:val="17"/>
              </w:rPr>
              <w:t>Dependable take-home pay can cover the household essentials—or there is a written plan to close the gap.</w:t>
            </w:r>
          </w:p>
        </w:tc>
      </w:tr>
      <w:tr>
        <w:tc>
          <w:tcPr>
            <w:tcW w:type="dxa" w:w="605"/>
            <w:shd w:fill="F4F1E9"/>
            <w:tcMar>
              <w:top w:w="100" w:type="dxa"/>
              <w:start w:w="110" w:type="dxa"/>
              <w:bottom w:w="100" w:type="dxa"/>
              <w:end w:w="110" w:type="dxa"/>
            </w:tcMar>
            <w:tcBorders>
              <w:bottom w:val="single" w:sz="4" w:color="FFFFFF"/>
            </w:tcBorders>
          </w:tcPr>
          <w:p>
            <w:r>
              <w:rPr>
                <w:rFonts w:ascii="Aptos" w:hAnsi="Aptos"/>
                <w:b w:val="0"/>
                <w:color w:val="2E6D8F"/>
                <w:sz w:val="32"/>
              </w:rPr>
              <w:t>□</w:t>
            </w:r>
          </w:p>
        </w:tc>
        <w:tc>
          <w:tcPr>
            <w:tcW w:type="dxa" w:w="9144"/>
            <w:shd w:fill="F4F1E9"/>
            <w:tcMar>
              <w:top w:w="100" w:type="dxa"/>
              <w:start w:w="110" w:type="dxa"/>
              <w:bottom w:w="100" w:type="dxa"/>
              <w:end w:w="110" w:type="dxa"/>
            </w:tcMar>
            <w:tcBorders>
              <w:bottom w:val="single" w:sz="4" w:color="FFFFFF"/>
            </w:tcBorders>
          </w:tcPr>
          <w:p>
            <w:r>
              <w:rPr>
                <w:rFonts w:ascii="Aptos" w:hAnsi="Aptos"/>
                <w:b/>
                <w:color w:val="142436"/>
                <w:sz w:val="16"/>
              </w:rPr>
              <w:t xml:space="preserve">THE NEXT HIT  </w:t>
            </w:r>
            <w:r>
              <w:rPr>
                <w:rFonts w:ascii="Aptos" w:hAnsi="Aptos"/>
                <w:b w:val="0"/>
                <w:color w:val="17212B"/>
                <w:sz w:val="17"/>
              </w:rPr>
              <w:t>Some cash is set aside for the repair, missed shift, or bill that would otherwise go straight to a card.</w:t>
            </w:r>
          </w:p>
        </w:tc>
      </w:tr>
      <w:tr>
        <w:tc>
          <w:tcPr>
            <w:tcW w:type="dxa" w:w="605"/>
            <w:shd w:fill="F4F1E9"/>
            <w:tcMar>
              <w:top w:w="100" w:type="dxa"/>
              <w:start w:w="110" w:type="dxa"/>
              <w:bottom w:w="100" w:type="dxa"/>
              <w:end w:w="110" w:type="dxa"/>
            </w:tcMar>
            <w:tcBorders>
              <w:bottom w:val="single" w:sz="4" w:color="FFFFFF"/>
            </w:tcBorders>
          </w:tcPr>
          <w:p>
            <w:r>
              <w:rPr>
                <w:rFonts w:ascii="Aptos" w:hAnsi="Aptos"/>
                <w:b w:val="0"/>
                <w:color w:val="2E6D8F"/>
                <w:sz w:val="32"/>
              </w:rPr>
              <w:t>□</w:t>
            </w:r>
          </w:p>
        </w:tc>
        <w:tc>
          <w:tcPr>
            <w:tcW w:type="dxa" w:w="9144"/>
            <w:shd w:fill="F4F1E9"/>
            <w:tcMar>
              <w:top w:w="100" w:type="dxa"/>
              <w:start w:w="110" w:type="dxa"/>
              <w:bottom w:w="100" w:type="dxa"/>
              <w:end w:w="110" w:type="dxa"/>
            </w:tcMar>
            <w:tcBorders>
              <w:bottom w:val="single" w:sz="4" w:color="FFFFFF"/>
            </w:tcBorders>
          </w:tcPr>
          <w:p>
            <w:r>
              <w:rPr>
                <w:rFonts w:ascii="Aptos" w:hAnsi="Aptos"/>
                <w:b/>
                <w:color w:val="142436"/>
                <w:sz w:val="16"/>
              </w:rPr>
              <w:t xml:space="preserve">PRESSURE DEBT  </w:t>
            </w:r>
            <w:r>
              <w:rPr>
                <w:rFonts w:ascii="Aptos" w:hAnsi="Aptos"/>
                <w:b w:val="0"/>
                <w:color w:val="17212B"/>
                <w:sz w:val="17"/>
              </w:rPr>
              <w:t>High-cost debt has a written payoff plan and is not absorbing money needed for essentials or the emergency buffer.</w:t>
            </w:r>
          </w:p>
        </w:tc>
      </w:tr>
      <w:tr>
        <w:tc>
          <w:tcPr>
            <w:tcW w:type="dxa" w:w="605"/>
            <w:shd w:fill="F4F1E9"/>
            <w:tcMar>
              <w:top w:w="100" w:type="dxa"/>
              <w:start w:w="110" w:type="dxa"/>
              <w:bottom w:w="100" w:type="dxa"/>
              <w:end w:w="110" w:type="dxa"/>
            </w:tcMar>
            <w:tcBorders>
              <w:bottom w:val="single" w:sz="4" w:color="FFFFFF"/>
            </w:tcBorders>
          </w:tcPr>
          <w:p>
            <w:r>
              <w:rPr>
                <w:rFonts w:ascii="Aptos" w:hAnsi="Aptos"/>
                <w:b w:val="0"/>
                <w:color w:val="2E6D8F"/>
                <w:sz w:val="32"/>
              </w:rPr>
              <w:t>□</w:t>
            </w:r>
          </w:p>
        </w:tc>
        <w:tc>
          <w:tcPr>
            <w:tcW w:type="dxa" w:w="9144"/>
            <w:shd w:fill="F4F1E9"/>
            <w:tcMar>
              <w:top w:w="100" w:type="dxa"/>
              <w:start w:w="110" w:type="dxa"/>
              <w:bottom w:w="100" w:type="dxa"/>
              <w:end w:w="110" w:type="dxa"/>
            </w:tcMar>
            <w:tcBorders>
              <w:bottom w:val="single" w:sz="4" w:color="FFFFFF"/>
            </w:tcBorders>
          </w:tcPr>
          <w:p>
            <w:r>
              <w:rPr>
                <w:rFonts w:ascii="Aptos" w:hAnsi="Aptos"/>
                <w:b/>
                <w:color w:val="142436"/>
                <w:sz w:val="16"/>
              </w:rPr>
              <w:t xml:space="preserve">THE TARGET  </w:t>
            </w:r>
            <w:r>
              <w:rPr>
                <w:rFonts w:ascii="Aptos" w:hAnsi="Aptos"/>
                <w:b w:val="0"/>
                <w:color w:val="17212B"/>
                <w:sz w:val="17"/>
              </w:rPr>
              <w:t>The purpose and likely time horizon for this money can be named.</w:t>
            </w:r>
          </w:p>
        </w:tc>
      </w:tr>
      <w:tr>
        <w:tc>
          <w:tcPr>
            <w:tcW w:type="dxa" w:w="605"/>
            <w:shd w:fill="F4F1E9"/>
            <w:tcMar>
              <w:top w:w="100" w:type="dxa"/>
              <w:start w:w="110" w:type="dxa"/>
              <w:bottom w:w="100" w:type="dxa"/>
              <w:end w:w="110" w:type="dxa"/>
            </w:tcMar>
            <w:tcBorders>
              <w:bottom w:val="single" w:sz="4" w:color="FFFFFF"/>
            </w:tcBorders>
          </w:tcPr>
          <w:p>
            <w:r>
              <w:rPr>
                <w:rFonts w:ascii="Aptos" w:hAnsi="Aptos"/>
                <w:b w:val="0"/>
                <w:color w:val="2E6D8F"/>
                <w:sz w:val="32"/>
              </w:rPr>
              <w:t>□</w:t>
            </w:r>
          </w:p>
        </w:tc>
        <w:tc>
          <w:tcPr>
            <w:tcW w:type="dxa" w:w="9144"/>
            <w:shd w:fill="F4F1E9"/>
            <w:tcMar>
              <w:top w:w="100" w:type="dxa"/>
              <w:start w:w="110" w:type="dxa"/>
              <w:bottom w:w="100" w:type="dxa"/>
              <w:end w:w="110" w:type="dxa"/>
            </w:tcMar>
            <w:tcBorders>
              <w:bottom w:val="single" w:sz="4" w:color="FFFFFF"/>
            </w:tcBorders>
          </w:tcPr>
          <w:p>
            <w:r>
              <w:rPr>
                <w:rFonts w:ascii="Aptos" w:hAnsi="Aptos"/>
                <w:b/>
                <w:color w:val="142436"/>
                <w:sz w:val="16"/>
              </w:rPr>
              <w:t xml:space="preserve">THE ACCESS  </w:t>
            </w:r>
            <w:r>
              <w:rPr>
                <w:rFonts w:ascii="Aptos" w:hAnsi="Aptos"/>
                <w:b w:val="0"/>
                <w:color w:val="17212B"/>
                <w:sz w:val="17"/>
              </w:rPr>
              <w:t>A partner or trusted person can find the accounts, contacts, and instructions.</w:t>
            </w:r>
          </w:p>
        </w:tc>
      </w:tr>
      <w:tr>
        <w:tc>
          <w:tcPr>
            <w:tcW w:type="dxa" w:w="605"/>
            <w:shd w:fill="F4F1E9"/>
            <w:tcMar>
              <w:top w:w="100" w:type="dxa"/>
              <w:start w:w="110" w:type="dxa"/>
              <w:bottom w:w="100" w:type="dxa"/>
              <w:end w:w="110" w:type="dxa"/>
            </w:tcMar>
            <w:tcBorders>
              <w:bottom w:val="single" w:sz="4" w:color="FFFFFF"/>
            </w:tcBorders>
          </w:tcPr>
          <w:p>
            <w:r>
              <w:rPr>
                <w:rFonts w:ascii="Aptos" w:hAnsi="Aptos"/>
                <w:b w:val="0"/>
                <w:color w:val="2E6D8F"/>
                <w:sz w:val="32"/>
              </w:rPr>
              <w:t>□</w:t>
            </w:r>
          </w:p>
        </w:tc>
        <w:tc>
          <w:tcPr>
            <w:tcW w:type="dxa" w:w="9144"/>
            <w:shd w:fill="F4F1E9"/>
            <w:tcMar>
              <w:top w:w="100" w:type="dxa"/>
              <w:start w:w="110" w:type="dxa"/>
              <w:bottom w:w="100" w:type="dxa"/>
              <w:end w:w="110" w:type="dxa"/>
            </w:tcMar>
            <w:tcBorders>
              <w:bottom w:val="single" w:sz="4" w:color="FFFFFF"/>
            </w:tcBorders>
          </w:tcPr>
          <w:p>
            <w:r>
              <w:rPr>
                <w:rFonts w:ascii="Aptos" w:hAnsi="Aptos"/>
                <w:b/>
                <w:color w:val="142436"/>
                <w:sz w:val="16"/>
              </w:rPr>
              <w:t xml:space="preserve">THE RULES  </w:t>
            </w:r>
            <w:r>
              <w:rPr>
                <w:rFonts w:ascii="Aptos" w:hAnsi="Aptos"/>
                <w:b w:val="0"/>
                <w:color w:val="17212B"/>
                <w:sz w:val="17"/>
              </w:rPr>
              <w:t>The household understands investments can fall in value and no return is guaranteed.</w:t>
            </w:r>
          </w:p>
        </w:tc>
      </w:tr>
    </w:tbl>
    <w:p/>
    <w:tbl>
      <w:tblPr>
        <w:tblW w:type="auto" w:w="0"/>
        <w:jc w:val="left"/>
        <w:tblLayout w:type="fixed"/>
        <w:tblLook w:firstColumn="1" w:firstRow="1" w:lastColumn="0" w:lastRow="0" w:noHBand="0" w:noVBand="1" w:val="04A0"/>
      </w:tblPr>
      <w:tblGrid>
        <w:gridCol w:w="173"/>
        <w:gridCol w:w="9619"/>
      </w:tblGrid>
      <w:tr>
        <w:tc>
          <w:tcPr>
            <w:tcW w:type="dxa" w:w="5083"/>
            <w:tcBorders>
              <w:top w:val="nil"/>
              <w:left w:val="nil"/>
              <w:bottom w:val="nil"/>
              <w:right w:val="nil"/>
            </w:tcBorders>
            <w:shd w:fill="F2B842"/>
            <w:tcMar>
              <w:top w:w="0" w:type="dxa"/>
              <w:start w:w="0" w:type="dxa"/>
              <w:bottom w:w="0" w:type="dxa"/>
              <w:end w:w="0" w:type="dxa"/>
            </w:tcMar>
          </w:tcPr>
          <w:p/>
        </w:tc>
        <w:tc>
          <w:tcPr>
            <w:tcW w:type="dxa" w:w="5083"/>
            <w:tcBorders>
              <w:top w:val="nil"/>
              <w:left w:val="nil"/>
              <w:bottom w:val="nil"/>
              <w:right w:val="nil"/>
            </w:tcBorders>
            <w:shd w:fill="FFF4D9"/>
            <w:tcMar>
              <w:top w:w="145" w:type="dxa"/>
              <w:start w:w="180" w:type="dxa"/>
              <w:bottom w:w="145" w:type="dxa"/>
              <w:end w:w="180" w:type="dxa"/>
            </w:tcMar>
          </w:tcPr>
          <w:p>
            <w:pPr>
              <w:spacing w:after="80"/>
            </w:pPr>
            <w:r>
              <w:rPr>
                <w:rFonts w:ascii="Aptos" w:hAnsi="Aptos"/>
                <w:b/>
                <w:color w:val="142436"/>
                <w:sz w:val="16"/>
              </w:rPr>
              <w:t>STOP-AND-FIX RULE</w:t>
            </w:r>
          </w:p>
          <w:p>
            <w:pPr>
              <w:spacing w:after="0" w:line="276" w:lineRule="auto"/>
            </w:pPr>
            <w:r>
              <w:rPr>
                <w:rFonts w:ascii="Aptos" w:hAnsi="Aptos"/>
                <w:b w:val="0"/>
                <w:color w:val="17212B"/>
                <w:sz w:val="18"/>
              </w:rPr>
              <w:t>If the money may be needed soon, if one missed shift creates an immediate crisis, or if high-cost debt is growing, strengthen that layer before adding more market risk.</w:t>
            </w:r>
          </w:p>
        </w:tc>
      </w:tr>
    </w:tbl>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THE ONE FOUNDATION LAYER WE WILL FIX FIRST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p>
      <w:r>
        <w:br w:type="page"/>
      </w:r>
    </w:p>
    <w:tbl>
      <w:tblPr>
        <w:tblW w:type="auto" w:w="0"/>
        <w:jc w:val="left"/>
        <w:tblLayout w:type="fixed"/>
        <w:tblLook w:firstColumn="1" w:firstRow="1" w:lastColumn="0" w:lastRow="0" w:noHBand="0" w:noVBand="1" w:val="04A0"/>
      </w:tblPr>
      <w:tblGrid>
        <w:gridCol w:w="1037"/>
        <w:gridCol w:w="8712"/>
      </w:tblGrid>
      <w:tr>
        <w:tc>
          <w:tcPr>
            <w:tcW w:type="dxa" w:w="5083"/>
            <w:tcBorders>
              <w:top w:val="nil"/>
              <w:left w:val="nil"/>
              <w:bottom w:val="nil"/>
              <w:right w:val="nil"/>
            </w:tcBorders>
            <w:shd w:fill="F2B842"/>
            <w:tcMar>
              <w:top w:w="120" w:type="dxa"/>
              <w:start w:w="60" w:type="dxa"/>
              <w:bottom w:w="120" w:type="dxa"/>
              <w:end w:w="60" w:type="dxa"/>
            </w:tcMar>
            <w:vAlign w:val="center"/>
          </w:tcPr>
          <w:p>
            <w:pPr>
              <w:jc w:val="center"/>
            </w:pPr>
            <w:r>
              <w:rPr>
                <w:rFonts w:ascii="Arial Narrow" w:hAnsi="Arial Narrow"/>
                <w:b/>
                <w:color w:val="142436"/>
                <w:sz w:val="42"/>
              </w:rPr>
              <w:t>02</w:t>
            </w:r>
          </w:p>
        </w:tc>
        <w:tc>
          <w:tcPr>
            <w:tcW w:type="dxa" w:w="5083"/>
            <w:tcBorders>
              <w:top w:val="nil"/>
              <w:left w:val="nil"/>
              <w:bottom w:val="nil"/>
              <w:right w:val="nil"/>
            </w:tcBorders>
            <w:tcMar>
              <w:top w:w="20" w:type="dxa"/>
              <w:start w:w="180" w:type="dxa"/>
              <w:bottom w:w="0" w:type="dxa"/>
              <w:end w:w="0" w:type="dxa"/>
            </w:tcMar>
          </w:tcPr>
          <w:p>
            <w:pPr>
              <w:spacing w:after="80"/>
            </w:pPr>
            <w:r>
              <w:rPr>
                <w:rFonts w:ascii="Aptos" w:hAnsi="Aptos"/>
                <w:b/>
                <w:color w:val="2E6D8F"/>
                <w:sz w:val="16"/>
              </w:rPr>
              <w:t>NAME THE TARGET</w:t>
            </w:r>
          </w:p>
          <w:p>
            <w:pPr>
              <w:spacing w:after="0"/>
            </w:pPr>
            <w:r>
              <w:rPr>
                <w:rFonts w:ascii="Arial Narrow" w:hAnsi="Arial Narrow"/>
                <w:b/>
                <w:caps/>
                <w:color w:val="000000"/>
                <w:sz w:val="51"/>
              </w:rPr>
              <w:t>Every investment dollar needs a job and a clock.</w:t>
            </w:r>
          </w:p>
        </w:tc>
      </w:tr>
    </w:tbl>
    <w:p>
      <w:pPr>
        <w:spacing w:before="300" w:after="280" w:line="276" w:lineRule="auto"/>
      </w:pPr>
      <w:r>
        <w:rPr>
          <w:rFonts w:ascii="Aptos" w:hAnsi="Aptos"/>
          <w:b w:val="0"/>
          <w:color w:val="5D6871"/>
          <w:sz w:val="23"/>
        </w:rPr>
        <w:t>Write the purpose before choosing the product. A truck replacement in two years and retirement decades from now should not automatically carry the same risk.</w:t>
      </w:r>
    </w:p>
    <w:p>
      <w:pPr>
        <w:keepNext/>
        <w:spacing w:after="100"/>
      </w:pPr>
      <w:r>
        <w:rPr>
          <w:rFonts w:ascii="Aptos" w:hAnsi="Aptos"/>
          <w:b/>
          <w:color w:val="2E6D8F"/>
          <w:sz w:val="17"/>
        </w:rPr>
        <w:t>FOUR QUESTIONS BEFORE THE ACCOUNT</w:t>
      </w:r>
    </w:p>
    <w:tbl>
      <w:tblPr>
        <w:tblW w:type="auto" w:w="0"/>
        <w:jc w:val="left"/>
        <w:tblLayout w:type="fixed"/>
        <w:tblLook w:firstColumn="1" w:firstRow="1" w:lastColumn="0" w:lastRow="0" w:noHBand="0" w:noVBand="1" w:val="04A0"/>
      </w:tblPr>
      <w:tblGrid>
        <w:gridCol w:w="346"/>
        <w:gridCol w:w="9432"/>
      </w:tblGrid>
      <w:tr>
        <w:tc>
          <w:tcPr>
            <w:tcW w:type="dxa" w:w="5083"/>
            <w:tcBorders>
              <w:top w:val="nil"/>
              <w:left w:val="nil"/>
              <w:bottom w:val="nil"/>
              <w:right w:val="nil"/>
            </w:tcBorders>
            <w:tcMar>
              <w:top w:w="20" w:type="dxa"/>
              <w:start w:w="0" w:type="dxa"/>
              <w:bottom w:w="15" w:type="dxa"/>
              <w:end w:w="25" w:type="dxa"/>
            </w:tcMar>
          </w:tcPr>
          <w:p>
            <w:r>
              <w:rPr>
                <w:rFonts w:ascii="Aptos" w:hAnsi="Aptos"/>
                <w:b/>
                <w:color w:val="F2B842"/>
                <w:sz w:val="16"/>
              </w:rPr>
              <w:t>■</w:t>
            </w:r>
          </w:p>
        </w:tc>
        <w:tc>
          <w:tcPr>
            <w:tcW w:type="dxa" w:w="5083"/>
            <w:tcBorders>
              <w:top w:val="nil"/>
              <w:left w:val="nil"/>
              <w:bottom w:val="nil"/>
              <w:right w:val="nil"/>
            </w:tcBorders>
            <w:tcMar>
              <w:top w:w="20" w:type="dxa"/>
              <w:start w:w="0" w:type="dxa"/>
              <w:bottom w:w="15" w:type="dxa"/>
              <w:end w:w="0" w:type="dxa"/>
            </w:tcMar>
          </w:tcPr>
          <w:p>
            <w:pPr>
              <w:spacing w:line="269" w:lineRule="auto"/>
            </w:pPr>
            <w:r>
              <w:rPr>
                <w:rFonts w:ascii="Aptos" w:hAnsi="Aptos"/>
                <w:b w:val="0"/>
                <w:color w:val="17212B"/>
                <w:sz w:val="18"/>
              </w:rPr>
              <w:t>What specific job must this money do?</w:t>
            </w:r>
          </w:p>
        </w:tc>
      </w:tr>
    </w:tbl>
    <w:tbl>
      <w:tblPr>
        <w:tblW w:type="auto" w:w="0"/>
        <w:jc w:val="left"/>
        <w:tblLayout w:type="fixed"/>
        <w:tblLook w:firstColumn="1" w:firstRow="1" w:lastColumn="0" w:lastRow="0" w:noHBand="0" w:noVBand="1" w:val="04A0"/>
      </w:tblPr>
      <w:tblGrid>
        <w:gridCol w:w="346"/>
        <w:gridCol w:w="9432"/>
      </w:tblGrid>
      <w:tr>
        <w:tc>
          <w:tcPr>
            <w:tcW w:type="dxa" w:w="5083"/>
            <w:tcBorders>
              <w:top w:val="nil"/>
              <w:left w:val="nil"/>
              <w:bottom w:val="nil"/>
              <w:right w:val="nil"/>
            </w:tcBorders>
            <w:tcMar>
              <w:top w:w="20" w:type="dxa"/>
              <w:start w:w="0" w:type="dxa"/>
              <w:bottom w:w="15" w:type="dxa"/>
              <w:end w:w="25" w:type="dxa"/>
            </w:tcMar>
          </w:tcPr>
          <w:p>
            <w:r>
              <w:rPr>
                <w:rFonts w:ascii="Aptos" w:hAnsi="Aptos"/>
                <w:b/>
                <w:color w:val="F2B842"/>
                <w:sz w:val="16"/>
              </w:rPr>
              <w:t>■</w:t>
            </w:r>
          </w:p>
        </w:tc>
        <w:tc>
          <w:tcPr>
            <w:tcW w:type="dxa" w:w="5083"/>
            <w:tcBorders>
              <w:top w:val="nil"/>
              <w:left w:val="nil"/>
              <w:bottom w:val="nil"/>
              <w:right w:val="nil"/>
            </w:tcBorders>
            <w:tcMar>
              <w:top w:w="20" w:type="dxa"/>
              <w:start w:w="0" w:type="dxa"/>
              <w:bottom w:w="15" w:type="dxa"/>
              <w:end w:w="0" w:type="dxa"/>
            </w:tcMar>
          </w:tcPr>
          <w:p>
            <w:pPr>
              <w:spacing w:line="269" w:lineRule="auto"/>
            </w:pPr>
            <w:r>
              <w:rPr>
                <w:rFonts w:ascii="Aptos" w:hAnsi="Aptos"/>
                <w:b w:val="0"/>
                <w:color w:val="17212B"/>
                <w:sz w:val="18"/>
              </w:rPr>
              <w:t>When is the earliest date the family may need it?</w:t>
            </w:r>
          </w:p>
        </w:tc>
      </w:tr>
    </w:tbl>
    <w:tbl>
      <w:tblPr>
        <w:tblW w:type="auto" w:w="0"/>
        <w:jc w:val="left"/>
        <w:tblLayout w:type="fixed"/>
        <w:tblLook w:firstColumn="1" w:firstRow="1" w:lastColumn="0" w:lastRow="0" w:noHBand="0" w:noVBand="1" w:val="04A0"/>
      </w:tblPr>
      <w:tblGrid>
        <w:gridCol w:w="346"/>
        <w:gridCol w:w="9432"/>
      </w:tblGrid>
      <w:tr>
        <w:tc>
          <w:tcPr>
            <w:tcW w:type="dxa" w:w="5083"/>
            <w:tcBorders>
              <w:top w:val="nil"/>
              <w:left w:val="nil"/>
              <w:bottom w:val="nil"/>
              <w:right w:val="nil"/>
            </w:tcBorders>
            <w:tcMar>
              <w:top w:w="20" w:type="dxa"/>
              <w:start w:w="0" w:type="dxa"/>
              <w:bottom w:w="15" w:type="dxa"/>
              <w:end w:w="25" w:type="dxa"/>
            </w:tcMar>
          </w:tcPr>
          <w:p>
            <w:r>
              <w:rPr>
                <w:rFonts w:ascii="Aptos" w:hAnsi="Aptos"/>
                <w:b/>
                <w:color w:val="F2B842"/>
                <w:sz w:val="16"/>
              </w:rPr>
              <w:t>■</w:t>
            </w:r>
          </w:p>
        </w:tc>
        <w:tc>
          <w:tcPr>
            <w:tcW w:type="dxa" w:w="5083"/>
            <w:tcBorders>
              <w:top w:val="nil"/>
              <w:left w:val="nil"/>
              <w:bottom w:val="nil"/>
              <w:right w:val="nil"/>
            </w:tcBorders>
            <w:tcMar>
              <w:top w:w="20" w:type="dxa"/>
              <w:start w:w="0" w:type="dxa"/>
              <w:bottom w:w="15" w:type="dxa"/>
              <w:end w:w="0" w:type="dxa"/>
            </w:tcMar>
          </w:tcPr>
          <w:p>
            <w:pPr>
              <w:spacing w:line="269" w:lineRule="auto"/>
            </w:pPr>
            <w:r>
              <w:rPr>
                <w:rFonts w:ascii="Aptos" w:hAnsi="Aptos"/>
                <w:b w:val="0"/>
                <w:color w:val="17212B"/>
                <w:sz w:val="18"/>
              </w:rPr>
              <w:t>How much loss could the plan absorb without selling in panic?</w:t>
            </w:r>
          </w:p>
        </w:tc>
      </w:tr>
    </w:tbl>
    <w:tbl>
      <w:tblPr>
        <w:tblW w:type="auto" w:w="0"/>
        <w:jc w:val="left"/>
        <w:tblLayout w:type="fixed"/>
        <w:tblLook w:firstColumn="1" w:firstRow="1" w:lastColumn="0" w:lastRow="0" w:noHBand="0" w:noVBand="1" w:val="04A0"/>
      </w:tblPr>
      <w:tblGrid>
        <w:gridCol w:w="346"/>
        <w:gridCol w:w="9432"/>
      </w:tblGrid>
      <w:tr>
        <w:tc>
          <w:tcPr>
            <w:tcW w:type="dxa" w:w="5083"/>
            <w:tcBorders>
              <w:top w:val="nil"/>
              <w:left w:val="nil"/>
              <w:bottom w:val="nil"/>
              <w:right w:val="nil"/>
            </w:tcBorders>
            <w:tcMar>
              <w:top w:w="20" w:type="dxa"/>
              <w:start w:w="0" w:type="dxa"/>
              <w:bottom w:w="15" w:type="dxa"/>
              <w:end w:w="25" w:type="dxa"/>
            </w:tcMar>
          </w:tcPr>
          <w:p>
            <w:r>
              <w:rPr>
                <w:rFonts w:ascii="Aptos" w:hAnsi="Aptos"/>
                <w:b/>
                <w:color w:val="F2B842"/>
                <w:sz w:val="16"/>
              </w:rPr>
              <w:t>■</w:t>
            </w:r>
          </w:p>
        </w:tc>
        <w:tc>
          <w:tcPr>
            <w:tcW w:type="dxa" w:w="5083"/>
            <w:tcBorders>
              <w:top w:val="nil"/>
              <w:left w:val="nil"/>
              <w:bottom w:val="nil"/>
              <w:right w:val="nil"/>
            </w:tcBorders>
            <w:tcMar>
              <w:top w:w="20" w:type="dxa"/>
              <w:start w:w="0" w:type="dxa"/>
              <w:bottom w:w="15" w:type="dxa"/>
              <w:end w:w="0" w:type="dxa"/>
            </w:tcMar>
          </w:tcPr>
          <w:p>
            <w:pPr>
              <w:spacing w:line="269" w:lineRule="auto"/>
            </w:pPr>
            <w:r>
              <w:rPr>
                <w:rFonts w:ascii="Aptos" w:hAnsi="Aptos"/>
                <w:b w:val="0"/>
                <w:color w:val="17212B"/>
                <w:sz w:val="18"/>
              </w:rPr>
              <w:t>What contribution can continue through an ordinary month—not only a big overtime month?</w:t>
            </w:r>
          </w:p>
        </w:tc>
      </w:tr>
    </w:tbl>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MY TARGET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EARLIEST USE DATE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IF THE VALUE FALLS 30%, OUR WRITTEN RESPONSE IS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THE AMOUNT AN ORDINARY PAYCHECK CAN REPEAT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ayout w:type="fixed"/>
        <w:tblLook w:firstColumn="1" w:firstRow="1" w:lastColumn="0" w:lastRow="0" w:noHBand="0" w:noVBand="1" w:val="04A0"/>
      </w:tblPr>
      <w:tblGrid>
        <w:gridCol w:w="173"/>
        <w:gridCol w:w="9619"/>
      </w:tblGrid>
      <w:tr>
        <w:tc>
          <w:tcPr>
            <w:tcW w:type="dxa" w:w="5083"/>
            <w:tcBorders>
              <w:top w:val="nil"/>
              <w:left w:val="nil"/>
              <w:bottom w:val="nil"/>
              <w:right w:val="nil"/>
            </w:tcBorders>
            <w:shd w:fill="F2B842"/>
            <w:tcMar>
              <w:top w:w="0" w:type="dxa"/>
              <w:start w:w="0" w:type="dxa"/>
              <w:bottom w:w="0" w:type="dxa"/>
              <w:end w:w="0" w:type="dxa"/>
            </w:tcMar>
          </w:tcPr>
          <w:p/>
        </w:tc>
        <w:tc>
          <w:tcPr>
            <w:tcW w:type="dxa" w:w="5083"/>
            <w:tcBorders>
              <w:top w:val="nil"/>
              <w:left w:val="nil"/>
              <w:bottom w:val="nil"/>
              <w:right w:val="nil"/>
            </w:tcBorders>
            <w:shd w:fill="E8EEF1"/>
            <w:tcMar>
              <w:top w:w="145" w:type="dxa"/>
              <w:start w:w="180" w:type="dxa"/>
              <w:bottom w:w="145" w:type="dxa"/>
              <w:end w:w="180" w:type="dxa"/>
            </w:tcMar>
          </w:tcPr>
          <w:p>
            <w:pPr>
              <w:spacing w:after="80"/>
            </w:pPr>
            <w:r>
              <w:rPr>
                <w:rFonts w:ascii="Aptos" w:hAnsi="Aptos"/>
                <w:b/>
                <w:color w:val="142436"/>
                <w:sz w:val="16"/>
              </w:rPr>
              <w:t>BLUE COLLAR RULE</w:t>
            </w:r>
          </w:p>
          <w:p>
            <w:pPr>
              <w:spacing w:after="0" w:line="276" w:lineRule="auto"/>
            </w:pPr>
            <w:r>
              <w:rPr>
                <w:rFonts w:ascii="Aptos" w:hAnsi="Aptos"/>
                <w:b w:val="0"/>
                <w:color w:val="17212B"/>
                <w:sz w:val="18"/>
              </w:rPr>
              <w:t>Short-term money needs reliability. Long-term money may have time to recover from market swings. The goal, time horizon, and ability to take loss belong in the same decision.</w:t>
            </w:r>
          </w:p>
        </w:tc>
      </w:tr>
    </w:tbl>
    <w:p>
      <w:pPr>
        <w:spacing w:before="140" w:after="0"/>
      </w:pPr>
      <w:r>
        <w:rPr>
          <w:rFonts w:ascii="Aptos" w:hAnsi="Aptos"/>
          <w:b/>
          <w:color w:val="5D6871"/>
          <w:sz w:val="15"/>
        </w:rPr>
        <w:t xml:space="preserve">OFFICIAL REFERENCE  </w:t>
      </w:r>
      <w:hyperlink r:id="rId12">
        <w:r>
          <w:rPr>
            <w:color w:val="2E6D8F"/>
            <w:u w:val="single"/>
          </w:rPr>
          <w:t>Investor.gov — Saving and Investing for Different Goals</w:t>
        </w:r>
      </w:hyperlink>
    </w:p>
    <w:p>
      <w:r>
        <w:br w:type="page"/>
      </w:r>
    </w:p>
    <w:tbl>
      <w:tblPr>
        <w:tblW w:type="auto" w:w="0"/>
        <w:jc w:val="left"/>
        <w:tblLayout w:type="fixed"/>
        <w:tblLook w:firstColumn="1" w:firstRow="1" w:lastColumn="0" w:lastRow="0" w:noHBand="0" w:noVBand="1" w:val="04A0"/>
      </w:tblPr>
      <w:tblGrid>
        <w:gridCol w:w="1037"/>
        <w:gridCol w:w="8712"/>
      </w:tblGrid>
      <w:tr>
        <w:tc>
          <w:tcPr>
            <w:tcW w:type="dxa" w:w="5083"/>
            <w:tcBorders>
              <w:top w:val="nil"/>
              <w:left w:val="nil"/>
              <w:bottom w:val="nil"/>
              <w:right w:val="nil"/>
            </w:tcBorders>
            <w:shd w:fill="F2B842"/>
            <w:tcMar>
              <w:top w:w="120" w:type="dxa"/>
              <w:start w:w="60" w:type="dxa"/>
              <w:bottom w:w="120" w:type="dxa"/>
              <w:end w:w="60" w:type="dxa"/>
            </w:tcMar>
            <w:vAlign w:val="center"/>
          </w:tcPr>
          <w:p>
            <w:pPr>
              <w:jc w:val="center"/>
            </w:pPr>
            <w:r>
              <w:rPr>
                <w:rFonts w:ascii="Arial Narrow" w:hAnsi="Arial Narrow"/>
                <w:b/>
                <w:color w:val="142436"/>
                <w:sz w:val="42"/>
              </w:rPr>
              <w:t>03</w:t>
            </w:r>
          </w:p>
        </w:tc>
        <w:tc>
          <w:tcPr>
            <w:tcW w:type="dxa" w:w="5083"/>
            <w:tcBorders>
              <w:top w:val="nil"/>
              <w:left w:val="nil"/>
              <w:bottom w:val="nil"/>
              <w:right w:val="nil"/>
            </w:tcBorders>
            <w:tcMar>
              <w:top w:w="20" w:type="dxa"/>
              <w:start w:w="180" w:type="dxa"/>
              <w:bottom w:w="0" w:type="dxa"/>
              <w:end w:w="0" w:type="dxa"/>
            </w:tcMar>
          </w:tcPr>
          <w:p>
            <w:pPr>
              <w:spacing w:after="80"/>
            </w:pPr>
            <w:r>
              <w:rPr>
                <w:rFonts w:ascii="Aptos" w:hAnsi="Aptos"/>
                <w:b/>
                <w:color w:val="2E6D8F"/>
                <w:sz w:val="16"/>
              </w:rPr>
              <w:t>CHOOSE THE ACCOUNT</w:t>
            </w:r>
          </w:p>
          <w:p>
            <w:pPr>
              <w:spacing w:after="0"/>
            </w:pPr>
            <w:r>
              <w:rPr>
                <w:rFonts w:ascii="Arial Narrow" w:hAnsi="Arial Narrow"/>
                <w:b/>
                <w:caps/>
                <w:color w:val="000000"/>
                <w:sz w:val="51"/>
              </w:rPr>
              <w:t>The account is the toolbox. The investment is the tool.</w:t>
            </w:r>
          </w:p>
        </w:tc>
      </w:tr>
    </w:tbl>
    <w:p>
      <w:pPr>
        <w:spacing w:before="300" w:after="280" w:line="276" w:lineRule="auto"/>
      </w:pPr>
      <w:r>
        <w:rPr>
          <w:rFonts w:ascii="Aptos" w:hAnsi="Aptos"/>
          <w:b w:val="0"/>
          <w:color w:val="5D6871"/>
          <w:sz w:val="23"/>
        </w:rPr>
        <w:t>The same fund or stock can have different tax, access, fee, and withdrawal consequences depending on the account holding it.</w:t>
      </w:r>
    </w:p>
    <w:tbl>
      <w:tblPr>
        <w:tblW w:type="auto" w:w="0"/>
        <w:jc w:val="left"/>
        <w:tblLayout w:type="fixed"/>
        <w:tblLook w:firstColumn="1" w:firstRow="1" w:lastColumn="0" w:lastRow="0" w:noHBand="0" w:noVBand="1" w:val="04A0"/>
      </w:tblPr>
      <w:tblGrid>
        <w:gridCol w:w="3389"/>
        <w:gridCol w:w="3389"/>
        <w:gridCol w:w="3389"/>
      </w:tblGrid>
      <w:tr>
        <w:tc>
          <w:tcPr>
            <w:tcW w:type="dxa" w:w="3389"/>
            <w:shd w:fill="142436"/>
            <w:tcMar>
              <w:top w:w="105" w:type="dxa"/>
              <w:start w:w="100" w:type="dxa"/>
              <w:bottom w:w="105" w:type="dxa"/>
              <w:end w:w="100" w:type="dxa"/>
            </w:tcMar>
          </w:tcPr>
          <w:p>
            <w:r>
              <w:rPr>
                <w:rFonts w:ascii="Aptos" w:hAnsi="Aptos"/>
                <w:b/>
                <w:color w:val="FFFFFF"/>
                <w:sz w:val="15"/>
              </w:rPr>
              <w:t>ACCOUNT</w:t>
            </w:r>
          </w:p>
        </w:tc>
        <w:tc>
          <w:tcPr>
            <w:tcW w:type="dxa" w:w="3389"/>
            <w:shd w:fill="142436"/>
            <w:tcMar>
              <w:top w:w="105" w:type="dxa"/>
              <w:start w:w="100" w:type="dxa"/>
              <w:bottom w:w="105" w:type="dxa"/>
              <w:end w:w="100" w:type="dxa"/>
            </w:tcMar>
          </w:tcPr>
          <w:p>
            <w:r>
              <w:rPr>
                <w:rFonts w:ascii="Aptos" w:hAnsi="Aptos"/>
                <w:b/>
                <w:color w:val="FFFFFF"/>
                <w:sz w:val="15"/>
              </w:rPr>
              <w:t>WHAT TO CHECK</w:t>
            </w:r>
          </w:p>
        </w:tc>
        <w:tc>
          <w:tcPr>
            <w:tcW w:type="dxa" w:w="3389"/>
            <w:shd w:fill="142436"/>
            <w:tcMar>
              <w:top w:w="105" w:type="dxa"/>
              <w:start w:w="100" w:type="dxa"/>
              <w:bottom w:w="105" w:type="dxa"/>
              <w:end w:w="100" w:type="dxa"/>
            </w:tcMar>
          </w:tcPr>
          <w:p>
            <w:r>
              <w:rPr>
                <w:rFonts w:ascii="Aptos" w:hAnsi="Aptos"/>
                <w:b/>
                <w:color w:val="FFFFFF"/>
                <w:sz w:val="15"/>
              </w:rPr>
              <w:t>FIELD QUESTION</w:t>
            </w:r>
          </w:p>
        </w:tc>
      </w:tr>
      <w:tr>
        <w:tc>
          <w:tcPr>
            <w:tcW w:type="dxa" w:w="3389"/>
            <w:shd w:fill="F4F1E9"/>
            <w:tcMar>
              <w:top w:w="120" w:type="dxa"/>
              <w:start w:w="100" w:type="dxa"/>
              <w:bottom w:w="120" w:type="dxa"/>
              <w:end w:w="100" w:type="dxa"/>
            </w:tcMar>
            <w:tcBorders>
              <w:bottom w:val="single" w:sz="4" w:color="FFFFFF"/>
            </w:tcBorders>
          </w:tcPr>
          <w:p>
            <w:r>
              <w:rPr>
                <w:rFonts w:ascii="Aptos" w:hAnsi="Aptos"/>
                <w:b/>
                <w:color w:val="142436"/>
                <w:sz w:val="16"/>
              </w:rPr>
              <w:t>WORKPLACE PLAN</w:t>
            </w:r>
          </w:p>
        </w:tc>
        <w:tc>
          <w:tcPr>
            <w:tcW w:type="dxa" w:w="3389"/>
            <w:shd w:fill="F4F1E9"/>
            <w:tcMar>
              <w:top w:w="120" w:type="dxa"/>
              <w:start w:w="100" w:type="dxa"/>
              <w:bottom w:w="120" w:type="dxa"/>
              <w:end w:w="100" w:type="dxa"/>
            </w:tcMar>
            <w:tcBorders>
              <w:bottom w:val="single" w:sz="4" w:color="FFFFFF"/>
            </w:tcBorders>
          </w:tcPr>
          <w:p>
            <w:r>
              <w:rPr>
                <w:rFonts w:ascii="Aptos" w:hAnsi="Aptos"/>
                <w:b w:val="0"/>
                <w:color w:val="17212B"/>
                <w:sz w:val="16"/>
              </w:rPr>
              <w:t>Employer contribution, vesting, fund menu, total fees, loan and withdrawal rules.</w:t>
            </w:r>
          </w:p>
        </w:tc>
        <w:tc>
          <w:tcPr>
            <w:tcW w:type="dxa" w:w="3389"/>
            <w:shd w:fill="F4F1E9"/>
            <w:tcMar>
              <w:top w:w="120" w:type="dxa"/>
              <w:start w:w="100" w:type="dxa"/>
              <w:bottom w:w="120" w:type="dxa"/>
              <w:end w:w="100" w:type="dxa"/>
            </w:tcMar>
            <w:tcBorders>
              <w:bottom w:val="single" w:sz="4" w:color="FFFFFF"/>
            </w:tcBorders>
          </w:tcPr>
          <w:p>
            <w:r>
              <w:rPr>
                <w:rFonts w:ascii="Aptos" w:hAnsi="Aptos"/>
                <w:b/>
                <w:color w:val="2E6D8F"/>
                <w:sz w:val="16"/>
              </w:rPr>
              <w:t>What does the actual plan document say?</w:t>
            </w:r>
          </w:p>
        </w:tc>
      </w:tr>
      <w:tr>
        <w:tc>
          <w:tcPr>
            <w:tcW w:type="dxa" w:w="3389"/>
            <w:shd w:fill="F4F1E9"/>
            <w:tcMar>
              <w:top w:w="120" w:type="dxa"/>
              <w:start w:w="100" w:type="dxa"/>
              <w:bottom w:w="120" w:type="dxa"/>
              <w:end w:w="100" w:type="dxa"/>
            </w:tcMar>
            <w:tcBorders>
              <w:bottom w:val="single" w:sz="4" w:color="FFFFFF"/>
            </w:tcBorders>
          </w:tcPr>
          <w:p>
            <w:r>
              <w:rPr>
                <w:rFonts w:ascii="Aptos" w:hAnsi="Aptos"/>
                <w:b/>
                <w:color w:val="142436"/>
                <w:sz w:val="16"/>
              </w:rPr>
              <w:t>TRADITIONAL OR ROTH IRA</w:t>
            </w:r>
          </w:p>
        </w:tc>
        <w:tc>
          <w:tcPr>
            <w:tcW w:type="dxa" w:w="3389"/>
            <w:shd w:fill="F4F1E9"/>
            <w:tcMar>
              <w:top w:w="120" w:type="dxa"/>
              <w:start w:w="100" w:type="dxa"/>
              <w:bottom w:w="120" w:type="dxa"/>
              <w:end w:w="100" w:type="dxa"/>
            </w:tcMar>
            <w:tcBorders>
              <w:bottom w:val="single" w:sz="4" w:color="FFFFFF"/>
            </w:tcBorders>
          </w:tcPr>
          <w:p>
            <w:r>
              <w:rPr>
                <w:rFonts w:ascii="Aptos" w:hAnsi="Aptos"/>
                <w:b w:val="0"/>
                <w:color w:val="17212B"/>
                <w:sz w:val="16"/>
              </w:rPr>
              <w:t>Eligibility, current contribution rules, tax treatment, investment menu, custodian fees.</w:t>
            </w:r>
          </w:p>
        </w:tc>
        <w:tc>
          <w:tcPr>
            <w:tcW w:type="dxa" w:w="3389"/>
            <w:shd w:fill="F4F1E9"/>
            <w:tcMar>
              <w:top w:w="120" w:type="dxa"/>
              <w:start w:w="100" w:type="dxa"/>
              <w:bottom w:w="120" w:type="dxa"/>
              <w:end w:w="100" w:type="dxa"/>
            </w:tcMar>
            <w:tcBorders>
              <w:bottom w:val="single" w:sz="4" w:color="FFFFFF"/>
            </w:tcBorders>
          </w:tcPr>
          <w:p>
            <w:r>
              <w:rPr>
                <w:rFonts w:ascii="Aptos" w:hAnsi="Aptos"/>
                <w:b/>
                <w:color w:val="2E6D8F"/>
                <w:sz w:val="16"/>
              </w:rPr>
              <w:t>Do I understand when the tax benefit occurs?</w:t>
            </w:r>
          </w:p>
        </w:tc>
      </w:tr>
      <w:tr>
        <w:tc>
          <w:tcPr>
            <w:tcW w:type="dxa" w:w="3389"/>
            <w:shd w:fill="F4F1E9"/>
            <w:tcMar>
              <w:top w:w="120" w:type="dxa"/>
              <w:start w:w="100" w:type="dxa"/>
              <w:bottom w:w="120" w:type="dxa"/>
              <w:end w:w="100" w:type="dxa"/>
            </w:tcMar>
            <w:tcBorders>
              <w:bottom w:val="single" w:sz="4" w:color="FFFFFF"/>
            </w:tcBorders>
          </w:tcPr>
          <w:p>
            <w:r>
              <w:rPr>
                <w:rFonts w:ascii="Aptos" w:hAnsi="Aptos"/>
                <w:b/>
                <w:color w:val="142436"/>
                <w:sz w:val="16"/>
              </w:rPr>
              <w:t>TAXABLE BROKERAGE</w:t>
            </w:r>
          </w:p>
        </w:tc>
        <w:tc>
          <w:tcPr>
            <w:tcW w:type="dxa" w:w="3389"/>
            <w:shd w:fill="F4F1E9"/>
            <w:tcMar>
              <w:top w:w="120" w:type="dxa"/>
              <w:start w:w="100" w:type="dxa"/>
              <w:bottom w:w="120" w:type="dxa"/>
              <w:end w:w="100" w:type="dxa"/>
            </w:tcMar>
            <w:tcBorders>
              <w:bottom w:val="single" w:sz="4" w:color="FFFFFF"/>
            </w:tcBorders>
          </w:tcPr>
          <w:p>
            <w:r>
              <w:rPr>
                <w:rFonts w:ascii="Aptos" w:hAnsi="Aptos"/>
                <w:b w:val="0"/>
                <w:color w:val="17212B"/>
                <w:sz w:val="16"/>
              </w:rPr>
              <w:t>Trading and account fees, taxes on dividends/interest/gains, access, investment choices.</w:t>
            </w:r>
          </w:p>
        </w:tc>
        <w:tc>
          <w:tcPr>
            <w:tcW w:type="dxa" w:w="3389"/>
            <w:shd w:fill="F4F1E9"/>
            <w:tcMar>
              <w:top w:w="120" w:type="dxa"/>
              <w:start w:w="100" w:type="dxa"/>
              <w:bottom w:w="120" w:type="dxa"/>
              <w:end w:w="100" w:type="dxa"/>
            </w:tcMar>
            <w:tcBorders>
              <w:bottom w:val="single" w:sz="4" w:color="FFFFFF"/>
            </w:tcBorders>
          </w:tcPr>
          <w:p>
            <w:r>
              <w:rPr>
                <w:rFonts w:ascii="Aptos" w:hAnsi="Aptos"/>
                <w:b/>
                <w:color w:val="2E6D8F"/>
                <w:sz w:val="16"/>
              </w:rPr>
              <w:t>Does flexibility fit this money’s job?</w:t>
            </w:r>
          </w:p>
        </w:tc>
      </w:tr>
    </w:tbl>
    <w:p/>
    <w:p>
      <w:pPr>
        <w:keepNext/>
        <w:spacing w:after="100"/>
      </w:pPr>
      <w:r>
        <w:rPr>
          <w:rFonts w:ascii="Aptos" w:hAnsi="Aptos"/>
          <w:b/>
          <w:color w:val="2E6D8F"/>
          <w:sz w:val="17"/>
        </w:rPr>
        <w:t>ACCOUNT INSPECTION</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ACCOUNT OR PLAN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EMPLOYER CONTRIBUTION / VESTING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TOTAL ACCOUNT + FUND FEES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ACCESS / WITHDRAWAL RULES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ayout w:type="fixed"/>
        <w:tblLook w:firstColumn="1" w:firstRow="1" w:lastColumn="0" w:lastRow="0" w:noHBand="0" w:noVBand="1" w:val="04A0"/>
      </w:tblPr>
      <w:tblGrid>
        <w:gridCol w:w="173"/>
        <w:gridCol w:w="9619"/>
      </w:tblGrid>
      <w:tr>
        <w:tc>
          <w:tcPr>
            <w:tcW w:type="dxa" w:w="5083"/>
            <w:tcBorders>
              <w:top w:val="nil"/>
              <w:left w:val="nil"/>
              <w:bottom w:val="nil"/>
              <w:right w:val="nil"/>
            </w:tcBorders>
            <w:shd w:fill="F2B842"/>
            <w:tcMar>
              <w:top w:w="0" w:type="dxa"/>
              <w:start w:w="0" w:type="dxa"/>
              <w:bottom w:w="0" w:type="dxa"/>
              <w:end w:w="0" w:type="dxa"/>
            </w:tcMar>
          </w:tcPr>
          <w:p/>
        </w:tc>
        <w:tc>
          <w:tcPr>
            <w:tcW w:type="dxa" w:w="5083"/>
            <w:tcBorders>
              <w:top w:val="nil"/>
              <w:left w:val="nil"/>
              <w:bottom w:val="nil"/>
              <w:right w:val="nil"/>
            </w:tcBorders>
            <w:shd w:fill="E8EEF1"/>
            <w:tcMar>
              <w:top w:w="145" w:type="dxa"/>
              <w:start w:w="180" w:type="dxa"/>
              <w:bottom w:w="145" w:type="dxa"/>
              <w:end w:w="180" w:type="dxa"/>
            </w:tcMar>
          </w:tcPr>
          <w:p>
            <w:pPr>
              <w:spacing w:after="80"/>
            </w:pPr>
            <w:r>
              <w:rPr>
                <w:rFonts w:ascii="Aptos" w:hAnsi="Aptos"/>
                <w:b/>
                <w:color w:val="142436"/>
                <w:sz w:val="16"/>
              </w:rPr>
              <w:t>AUTHORITY RULE</w:t>
            </w:r>
          </w:p>
          <w:p>
            <w:pPr>
              <w:spacing w:after="0" w:line="276" w:lineRule="auto"/>
            </w:pPr>
            <w:r>
              <w:rPr>
                <w:rFonts w:ascii="Aptos" w:hAnsi="Aptos"/>
                <w:b w:val="0"/>
                <w:color w:val="17212B"/>
                <w:sz w:val="18"/>
              </w:rPr>
              <w:t>Current law, official government guidance, and the actual plan document outrank a podcast clip, video, post, or old contribution-limit graphic.</w:t>
            </w:r>
          </w:p>
        </w:tc>
      </w:tr>
    </w:tbl>
    <w:p>
      <w:pPr>
        <w:spacing w:before="140" w:after="0"/>
      </w:pPr>
      <w:r>
        <w:rPr>
          <w:rFonts w:ascii="Aptos" w:hAnsi="Aptos"/>
          <w:b/>
          <w:color w:val="5D6871"/>
          <w:sz w:val="15"/>
        </w:rPr>
        <w:t xml:space="preserve">OFFICIAL REFERENCE  </w:t>
      </w:r>
      <w:hyperlink r:id="rId13">
        <w:r>
          <w:rPr>
            <w:color w:val="2E6D8F"/>
            <w:u w:val="single"/>
          </w:rPr>
          <w:t>IRS — Retirement Plans</w:t>
        </w:r>
      </w:hyperlink>
    </w:p>
    <w:p>
      <w:r>
        <w:br w:type="page"/>
      </w:r>
    </w:p>
    <w:tbl>
      <w:tblPr>
        <w:tblW w:type="auto" w:w="0"/>
        <w:jc w:val="left"/>
        <w:tblLayout w:type="fixed"/>
        <w:tblLook w:firstColumn="1" w:firstRow="1" w:lastColumn="0" w:lastRow="0" w:noHBand="0" w:noVBand="1" w:val="04A0"/>
      </w:tblPr>
      <w:tblGrid>
        <w:gridCol w:w="1037"/>
        <w:gridCol w:w="8712"/>
      </w:tblGrid>
      <w:tr>
        <w:tc>
          <w:tcPr>
            <w:tcW w:type="dxa" w:w="5083"/>
            <w:tcBorders>
              <w:top w:val="nil"/>
              <w:left w:val="nil"/>
              <w:bottom w:val="nil"/>
              <w:right w:val="nil"/>
            </w:tcBorders>
            <w:shd w:fill="F2B842"/>
            <w:tcMar>
              <w:top w:w="120" w:type="dxa"/>
              <w:start w:w="60" w:type="dxa"/>
              <w:bottom w:w="120" w:type="dxa"/>
              <w:end w:w="60" w:type="dxa"/>
            </w:tcMar>
            <w:vAlign w:val="center"/>
          </w:tcPr>
          <w:p>
            <w:pPr>
              <w:jc w:val="center"/>
            </w:pPr>
            <w:r>
              <w:rPr>
                <w:rFonts w:ascii="Arial Narrow" w:hAnsi="Arial Narrow"/>
                <w:b/>
                <w:color w:val="142436"/>
                <w:sz w:val="42"/>
              </w:rPr>
              <w:t>04</w:t>
            </w:r>
          </w:p>
        </w:tc>
        <w:tc>
          <w:tcPr>
            <w:tcW w:type="dxa" w:w="5083"/>
            <w:tcBorders>
              <w:top w:val="nil"/>
              <w:left w:val="nil"/>
              <w:bottom w:val="nil"/>
              <w:right w:val="nil"/>
            </w:tcBorders>
            <w:tcMar>
              <w:top w:w="20" w:type="dxa"/>
              <w:start w:w="180" w:type="dxa"/>
              <w:bottom w:w="0" w:type="dxa"/>
              <w:end w:w="0" w:type="dxa"/>
            </w:tcMar>
          </w:tcPr>
          <w:p>
            <w:pPr>
              <w:spacing w:after="80"/>
            </w:pPr>
            <w:r>
              <w:rPr>
                <w:rFonts w:ascii="Aptos" w:hAnsi="Aptos"/>
                <w:b/>
                <w:color w:val="2E6D8F"/>
                <w:sz w:val="16"/>
              </w:rPr>
              <w:t>KNOW YOUR INVESTOR IDENTITY</w:t>
            </w:r>
          </w:p>
          <w:p>
            <w:pPr>
              <w:spacing w:after="0"/>
            </w:pPr>
            <w:r>
              <w:rPr>
                <w:rFonts w:ascii="Arial Narrow" w:hAnsi="Arial Narrow"/>
                <w:b/>
                <w:caps/>
                <w:color w:val="000000"/>
                <w:sz w:val="51"/>
              </w:rPr>
              <w:t>Pick the lane you can operate safely.</w:t>
            </w:r>
          </w:p>
        </w:tc>
      </w:tr>
    </w:tbl>
    <w:p>
      <w:pPr>
        <w:spacing w:before="300" w:after="280" w:line="276" w:lineRule="auto"/>
      </w:pPr>
      <w:r>
        <w:rPr>
          <w:rFonts w:ascii="Aptos" w:hAnsi="Aptos"/>
          <w:b w:val="0"/>
          <w:color w:val="5D6871"/>
          <w:sz w:val="23"/>
        </w:rPr>
        <w:t>A passive core and active company research are different jobs. Confusing them is how a long-term plan turns into impulse trading.</w:t>
      </w:r>
    </w:p>
    <w:tbl>
      <w:tblPr>
        <w:tblW w:type="auto" w:w="0"/>
        <w:jc w:val="left"/>
        <w:tblLayout w:type="fixed"/>
        <w:tblLook w:firstColumn="1" w:firstRow="1" w:lastColumn="0" w:lastRow="0" w:noHBand="0" w:noVBand="1" w:val="04A0"/>
      </w:tblPr>
      <w:tblGrid>
        <w:gridCol w:w="5083"/>
        <w:gridCol w:w="5083"/>
      </w:tblGrid>
      <w:tr>
        <w:tc>
          <w:tcPr>
            <w:tcW w:type="dxa" w:w="5083"/>
            <w:shd w:fill="F2B842"/>
            <w:tcMar>
              <w:top w:w="100" w:type="dxa"/>
              <w:start w:w="120" w:type="dxa"/>
              <w:bottom w:w="100" w:type="dxa"/>
              <w:end w:w="120" w:type="dxa"/>
            </w:tcMar>
            <w:tcBorders>
              <w:top w:val="nil"/>
              <w:left w:val="nil"/>
              <w:bottom w:val="nil"/>
              <w:right w:val="nil"/>
            </w:tcBorders>
          </w:tcPr>
          <w:p>
            <w:r>
              <w:rPr>
                <w:rFonts w:ascii="Aptos" w:hAnsi="Aptos"/>
                <w:b/>
                <w:color w:val="142436"/>
                <w:sz w:val="18"/>
              </w:rPr>
              <w:t>PASSIVE CORE</w:t>
            </w:r>
          </w:p>
        </w:tc>
        <w:tc>
          <w:tcPr>
            <w:tcW w:type="dxa" w:w="5083"/>
            <w:shd w:fill="2E6D8F"/>
            <w:tcMar>
              <w:top w:w="100" w:type="dxa"/>
              <w:start w:w="120" w:type="dxa"/>
              <w:bottom w:w="100" w:type="dxa"/>
              <w:end w:w="120" w:type="dxa"/>
            </w:tcMar>
            <w:tcBorders>
              <w:top w:val="nil"/>
              <w:left w:val="nil"/>
              <w:bottom w:val="nil"/>
              <w:right w:val="nil"/>
            </w:tcBorders>
          </w:tcPr>
          <w:p>
            <w:r>
              <w:rPr>
                <w:rFonts w:ascii="Aptos" w:hAnsi="Aptos"/>
                <w:b/>
                <w:color w:val="FFFFFF"/>
                <w:sz w:val="18"/>
              </w:rPr>
              <w:t>ACTIVE RESEARCH</w:t>
            </w:r>
          </w:p>
        </w:tc>
      </w:tr>
      <w:tr>
        <w:tc>
          <w:tcPr>
            <w:tcW w:type="dxa" w:w="5083"/>
            <w:shd w:fill="F4F1E9"/>
            <w:tcMar>
              <w:top w:w="180" w:type="dxa"/>
              <w:start w:w="160" w:type="dxa"/>
              <w:bottom w:w="180" w:type="dxa"/>
              <w:end w:w="160" w:type="dxa"/>
            </w:tcMar>
            <w:tcBorders>
              <w:top w:val="nil"/>
              <w:left w:val="nil"/>
              <w:bottom w:val="nil"/>
              <w:right w:val="nil"/>
            </w:tcBorders>
          </w:tcPr>
          <w:p>
            <w:r>
              <w:rPr>
                <w:rFonts w:ascii="Arial Narrow" w:hAnsi="Arial Narrow"/>
                <w:b/>
                <w:color w:val="000000"/>
                <w:sz w:val="26"/>
              </w:rPr>
              <w:t>OWN A BROAD BASKET</w:t>
            </w:r>
          </w:p>
          <w:p>
            <w:r>
              <w:rPr>
                <w:rFonts w:ascii="Aptos" w:hAnsi="Aptos"/>
                <w:b w:val="0"/>
                <w:color w:val="17212B"/>
                <w:sz w:val="18"/>
              </w:rPr>
              <w:t>Broad diversified funds can spread exposure across many companies. A target-date fund can also adjust its mix over time.</w:t>
            </w:r>
          </w:p>
          <w:p>
            <w:pPr>
              <w:spacing w:before="240"/>
            </w:pPr>
            <w:r>
              <w:rPr>
                <w:rFonts w:ascii="Aptos" w:hAnsi="Aptos"/>
                <w:b/>
                <w:color w:val="2E6D8F"/>
                <w:sz w:val="15"/>
              </w:rPr>
              <w:t xml:space="preserve">BEST BEHAVIOR  </w:t>
            </w:r>
            <w:r>
              <w:rPr>
                <w:rFonts w:ascii="Aptos" w:hAnsi="Aptos"/>
                <w:b/>
                <w:color w:val="142436"/>
                <w:sz w:val="17"/>
              </w:rPr>
              <w:t>Repeat. Reinvest if it fits. Avoid constant tinkering.</w:t>
            </w:r>
          </w:p>
        </w:tc>
        <w:tc>
          <w:tcPr>
            <w:tcW w:type="dxa" w:w="5083"/>
            <w:shd w:fill="E8EEF1"/>
            <w:tcMar>
              <w:top w:w="180" w:type="dxa"/>
              <w:start w:w="160" w:type="dxa"/>
              <w:bottom w:w="180" w:type="dxa"/>
              <w:end w:w="160" w:type="dxa"/>
            </w:tcMar>
            <w:tcBorders>
              <w:top w:val="nil"/>
              <w:left w:val="nil"/>
              <w:bottom w:val="nil"/>
              <w:right w:val="nil"/>
            </w:tcBorders>
          </w:tcPr>
          <w:p>
            <w:r>
              <w:rPr>
                <w:rFonts w:ascii="Arial Narrow" w:hAnsi="Arial Narrow"/>
                <w:b/>
                <w:color w:val="000000"/>
                <w:sz w:val="26"/>
              </w:rPr>
              <w:t>STUDY AN INDIVIDUAL BUSINESS</w:t>
            </w:r>
          </w:p>
          <w:p>
            <w:r>
              <w:rPr>
                <w:rFonts w:ascii="Aptos" w:hAnsi="Aptos"/>
                <w:b w:val="0"/>
                <w:color w:val="17212B"/>
                <w:sz w:val="18"/>
              </w:rPr>
              <w:t>Choosing one company adds concentrated risk. Read filings, test assumptions, and size the position so being wrong does not break the plan.</w:t>
            </w:r>
          </w:p>
          <w:p>
            <w:pPr>
              <w:spacing w:before="240"/>
            </w:pPr>
            <w:r>
              <w:rPr>
                <w:rFonts w:ascii="Aptos" w:hAnsi="Aptos"/>
                <w:b/>
                <w:color w:val="2E6D8F"/>
                <w:sz w:val="15"/>
              </w:rPr>
              <w:t xml:space="preserve">BEST BEHAVIOR  </w:t>
            </w:r>
            <w:r>
              <w:rPr>
                <w:rFonts w:ascii="Aptos" w:hAnsi="Aptos"/>
                <w:b/>
                <w:color w:val="142436"/>
                <w:sz w:val="17"/>
              </w:rPr>
              <w:t>Research first. Write the thesis. Review the facts.</w:t>
            </w:r>
          </w:p>
        </w:tc>
      </w:tr>
    </w:tbl>
    <w:p/>
    <w:tbl>
      <w:tblPr>
        <w:tblW w:type="auto" w:w="0"/>
        <w:jc w:val="left"/>
        <w:tblLayout w:type="fixed"/>
        <w:tblLook w:firstColumn="1" w:firstRow="1" w:lastColumn="0" w:lastRow="0" w:noHBand="0" w:noVBand="1" w:val="04A0"/>
      </w:tblPr>
      <w:tblGrid>
        <w:gridCol w:w="173"/>
        <w:gridCol w:w="9619"/>
      </w:tblGrid>
      <w:tr>
        <w:tc>
          <w:tcPr>
            <w:tcW w:type="dxa" w:w="5083"/>
            <w:tcBorders>
              <w:top w:val="nil"/>
              <w:left w:val="nil"/>
              <w:bottom w:val="nil"/>
              <w:right w:val="nil"/>
            </w:tcBorders>
            <w:shd w:fill="F2B842"/>
            <w:tcMar>
              <w:top w:w="0" w:type="dxa"/>
              <w:start w:w="0" w:type="dxa"/>
              <w:bottom w:w="0" w:type="dxa"/>
              <w:end w:w="0" w:type="dxa"/>
            </w:tcMar>
          </w:tcPr>
          <w:p/>
        </w:tc>
        <w:tc>
          <w:tcPr>
            <w:tcW w:type="dxa" w:w="5083"/>
            <w:tcBorders>
              <w:top w:val="nil"/>
              <w:left w:val="nil"/>
              <w:bottom w:val="nil"/>
              <w:right w:val="nil"/>
            </w:tcBorders>
            <w:shd w:fill="E8EEF1"/>
            <w:tcMar>
              <w:top w:w="145" w:type="dxa"/>
              <w:start w:w="180" w:type="dxa"/>
              <w:bottom w:w="145" w:type="dxa"/>
              <w:end w:w="180" w:type="dxa"/>
            </w:tcMar>
          </w:tcPr>
          <w:p>
            <w:pPr>
              <w:spacing w:after="80"/>
            </w:pPr>
            <w:r>
              <w:rPr>
                <w:rFonts w:ascii="Aptos" w:hAnsi="Aptos"/>
                <w:b/>
                <w:color w:val="142436"/>
                <w:sz w:val="16"/>
              </w:rPr>
              <w:t>COMPLEXITY IS EARNED</w:t>
            </w:r>
          </w:p>
          <w:p>
            <w:pPr>
              <w:spacing w:after="0" w:line="276" w:lineRule="auto"/>
            </w:pPr>
            <w:r>
              <w:rPr>
                <w:rFonts w:ascii="Aptos" w:hAnsi="Aptos"/>
                <w:b w:val="0"/>
                <w:color w:val="17212B"/>
                <w:sz w:val="18"/>
              </w:rPr>
              <w:t>A boring, diversified base can carry the long-term plan. If you want to learn individual companies, use a smaller learning bucket with a written loss limit.</w:t>
            </w:r>
          </w:p>
        </w:tc>
      </w:tr>
    </w:tbl>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MY PRIMARY LANE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MY LEARNING-BUCKET LIMIT, IF ANY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p>
      <w:r>
        <w:br w:type="page"/>
      </w:r>
    </w:p>
    <w:tbl>
      <w:tblPr>
        <w:tblW w:type="auto" w:w="0"/>
        <w:jc w:val="left"/>
        <w:tblLayout w:type="fixed"/>
        <w:tblLook w:firstColumn="1" w:firstRow="1" w:lastColumn="0" w:lastRow="0" w:noHBand="0" w:noVBand="1" w:val="04A0"/>
      </w:tblPr>
      <w:tblGrid>
        <w:gridCol w:w="1037"/>
        <w:gridCol w:w="8712"/>
      </w:tblGrid>
      <w:tr>
        <w:tc>
          <w:tcPr>
            <w:tcW w:type="dxa" w:w="5083"/>
            <w:tcBorders>
              <w:top w:val="nil"/>
              <w:left w:val="nil"/>
              <w:bottom w:val="nil"/>
              <w:right w:val="nil"/>
            </w:tcBorders>
            <w:shd w:fill="F2B842"/>
            <w:tcMar>
              <w:top w:w="120" w:type="dxa"/>
              <w:start w:w="60" w:type="dxa"/>
              <w:bottom w:w="120" w:type="dxa"/>
              <w:end w:w="60" w:type="dxa"/>
            </w:tcMar>
            <w:vAlign w:val="center"/>
          </w:tcPr>
          <w:p>
            <w:pPr>
              <w:jc w:val="center"/>
            </w:pPr>
            <w:r>
              <w:rPr>
                <w:rFonts w:ascii="Arial Narrow" w:hAnsi="Arial Narrow"/>
                <w:b/>
                <w:color w:val="142436"/>
                <w:sz w:val="42"/>
              </w:rPr>
              <w:t>05</w:t>
            </w:r>
          </w:p>
        </w:tc>
        <w:tc>
          <w:tcPr>
            <w:tcW w:type="dxa" w:w="5083"/>
            <w:tcBorders>
              <w:top w:val="nil"/>
              <w:left w:val="nil"/>
              <w:bottom w:val="nil"/>
              <w:right w:val="nil"/>
            </w:tcBorders>
            <w:tcMar>
              <w:top w:w="20" w:type="dxa"/>
              <w:start w:w="180" w:type="dxa"/>
              <w:bottom w:w="0" w:type="dxa"/>
              <w:end w:w="0" w:type="dxa"/>
            </w:tcMar>
          </w:tcPr>
          <w:p>
            <w:pPr>
              <w:spacing w:after="80"/>
            </w:pPr>
            <w:r>
              <w:rPr>
                <w:rFonts w:ascii="Aptos" w:hAnsi="Aptos"/>
                <w:b/>
                <w:color w:val="2E6D8F"/>
                <w:sz w:val="16"/>
              </w:rPr>
              <w:t>UNDERSTAND OWNERSHIP</w:t>
            </w:r>
          </w:p>
          <w:p>
            <w:pPr>
              <w:spacing w:after="0"/>
            </w:pPr>
            <w:r>
              <w:rPr>
                <w:rFonts w:ascii="Arial Narrow" w:hAnsi="Arial Narrow"/>
                <w:b/>
                <w:caps/>
                <w:color w:val="000000"/>
                <w:sz w:val="51"/>
              </w:rPr>
              <w:t>A ticker is a label. Under it is a business.</w:t>
            </w:r>
          </w:p>
        </w:tc>
      </w:tr>
    </w:tbl>
    <w:p>
      <w:pPr>
        <w:spacing w:before="300" w:after="280" w:line="276" w:lineRule="auto"/>
      </w:pPr>
      <w:r>
        <w:rPr>
          <w:rFonts w:ascii="Aptos" w:hAnsi="Aptos"/>
          <w:b w:val="0"/>
          <w:color w:val="5D6871"/>
          <w:sz w:val="23"/>
        </w:rPr>
        <w:t>A share of stock is a piece of a company. A fund is a basket that may hold dozens, hundreds, or thousands of investments.</w:t>
      </w:r>
    </w:p>
    <w:tbl>
      <w:tblPr>
        <w:tblW w:type="auto" w:w="0"/>
        <w:jc w:val="left"/>
        <w:tblLayout w:type="fixed"/>
        <w:tblLook w:firstColumn="1" w:firstRow="1" w:lastColumn="0" w:lastRow="0" w:noHBand="0" w:noVBand="1" w:val="04A0"/>
      </w:tblPr>
      <w:tblGrid>
        <w:gridCol w:w="2033"/>
        <w:gridCol w:w="2033"/>
        <w:gridCol w:w="2033"/>
        <w:gridCol w:w="2033"/>
        <w:gridCol w:w="2033"/>
      </w:tblGrid>
      <w:tr>
        <w:tc>
          <w:tcPr>
            <w:tcW w:type="dxa" w:w="2033"/>
            <w:shd w:fill="142436"/>
            <w:tcMar>
              <w:top w:w="130" w:type="dxa"/>
              <w:start w:w="60" w:type="dxa"/>
              <w:bottom w:w="130" w:type="dxa"/>
              <w:end w:w="60" w:type="dxa"/>
            </w:tcMar>
            <w:tcBorders>
              <w:top w:val="nil"/>
              <w:left w:val="nil"/>
              <w:bottom w:val="nil"/>
              <w:right w:val="nil"/>
            </w:tcBorders>
          </w:tcPr>
          <w:p>
            <w:pPr>
              <w:jc w:val="center"/>
            </w:pPr>
            <w:r>
              <w:rPr>
                <w:rFonts w:ascii="Aptos" w:hAnsi="Aptos"/>
                <w:b/>
                <w:color w:val="FFFFFF"/>
                <w:sz w:val="14"/>
              </w:rPr>
              <w:t>LABOR</w:t>
            </w:r>
          </w:p>
        </w:tc>
        <w:tc>
          <w:tcPr>
            <w:tcW w:type="dxa" w:w="2033"/>
            <w:shd w:fill="E8EEF1"/>
            <w:tcMar>
              <w:top w:w="130" w:type="dxa"/>
              <w:start w:w="60" w:type="dxa"/>
              <w:bottom w:w="130" w:type="dxa"/>
              <w:end w:w="60" w:type="dxa"/>
            </w:tcMar>
            <w:tcBorders>
              <w:top w:val="nil"/>
              <w:left w:val="nil"/>
              <w:bottom w:val="nil"/>
              <w:right w:val="nil"/>
            </w:tcBorders>
          </w:tcPr>
          <w:p>
            <w:pPr>
              <w:jc w:val="center"/>
            </w:pPr>
            <w:r>
              <w:rPr>
                <w:rFonts w:ascii="Aptos" w:hAnsi="Aptos"/>
                <w:b/>
                <w:color w:val="142436"/>
                <w:sz w:val="14"/>
              </w:rPr>
              <w:t>PAYCHECK</w:t>
            </w:r>
          </w:p>
        </w:tc>
        <w:tc>
          <w:tcPr>
            <w:tcW w:type="dxa" w:w="2033"/>
            <w:shd w:fill="142436"/>
            <w:tcMar>
              <w:top w:w="130" w:type="dxa"/>
              <w:start w:w="60" w:type="dxa"/>
              <w:bottom w:w="130" w:type="dxa"/>
              <w:end w:w="60" w:type="dxa"/>
            </w:tcMar>
            <w:tcBorders>
              <w:top w:val="nil"/>
              <w:left w:val="nil"/>
              <w:bottom w:val="nil"/>
              <w:right w:val="nil"/>
            </w:tcBorders>
          </w:tcPr>
          <w:p>
            <w:pPr>
              <w:jc w:val="center"/>
            </w:pPr>
            <w:r>
              <w:rPr>
                <w:rFonts w:ascii="Aptos" w:hAnsi="Aptos"/>
                <w:b/>
                <w:color w:val="FFFFFF"/>
                <w:sz w:val="14"/>
              </w:rPr>
              <w:t>ASSIGNED</w:t>
              <w:br/>
              <w:t>CONTRIBUTION</w:t>
            </w:r>
          </w:p>
        </w:tc>
        <w:tc>
          <w:tcPr>
            <w:tcW w:type="dxa" w:w="2033"/>
            <w:shd w:fill="E8EEF1"/>
            <w:tcMar>
              <w:top w:w="130" w:type="dxa"/>
              <w:start w:w="60" w:type="dxa"/>
              <w:bottom w:w="130" w:type="dxa"/>
              <w:end w:w="60" w:type="dxa"/>
            </w:tcMar>
            <w:tcBorders>
              <w:top w:val="nil"/>
              <w:left w:val="nil"/>
              <w:bottom w:val="nil"/>
              <w:right w:val="nil"/>
            </w:tcBorders>
          </w:tcPr>
          <w:p>
            <w:pPr>
              <w:jc w:val="center"/>
            </w:pPr>
            <w:r>
              <w:rPr>
                <w:rFonts w:ascii="Aptos" w:hAnsi="Aptos"/>
                <w:b/>
                <w:color w:val="142436"/>
                <w:sz w:val="14"/>
              </w:rPr>
              <w:t>PRODUCTIVE</w:t>
              <w:br/>
              <w:t>ASSETS</w:t>
            </w:r>
          </w:p>
        </w:tc>
        <w:tc>
          <w:tcPr>
            <w:tcW w:type="dxa" w:w="2033"/>
            <w:shd w:fill="142436"/>
            <w:tcMar>
              <w:top w:w="130" w:type="dxa"/>
              <w:start w:w="60" w:type="dxa"/>
              <w:bottom w:w="130" w:type="dxa"/>
              <w:end w:w="60" w:type="dxa"/>
            </w:tcMar>
            <w:tcBorders>
              <w:top w:val="nil"/>
              <w:left w:val="nil"/>
              <w:bottom w:val="nil"/>
              <w:right w:val="nil"/>
            </w:tcBorders>
          </w:tcPr>
          <w:p>
            <w:pPr>
              <w:jc w:val="center"/>
            </w:pPr>
            <w:r>
              <w:rPr>
                <w:rFonts w:ascii="Aptos" w:hAnsi="Aptos"/>
                <w:b/>
                <w:color w:val="FFFFFF"/>
                <w:sz w:val="14"/>
              </w:rPr>
              <w:t>TIME +</w:t>
              <w:br/>
              <w:t>REINVESTMENT</w:t>
            </w:r>
          </w:p>
        </w:tc>
      </w:tr>
    </w:tbl>
    <w:p/>
    <w:tbl>
      <w:tblPr>
        <w:tblW w:type="auto" w:w="0"/>
        <w:jc w:val="left"/>
        <w:tblLayout w:type="fixed"/>
        <w:tblLook w:firstColumn="1" w:firstRow="1" w:lastColumn="0" w:lastRow="0" w:noHBand="0" w:noVBand="1" w:val="04A0"/>
      </w:tblPr>
      <w:tblGrid>
        <w:gridCol w:w="5083"/>
        <w:gridCol w:w="5083"/>
      </w:tblGrid>
      <w:tr>
        <w:tc>
          <w:tcPr>
            <w:tcW w:type="dxa" w:w="5083"/>
            <w:shd w:fill="F4F1E9"/>
            <w:tcMar>
              <w:top w:w="150" w:type="dxa"/>
              <w:start w:w="150" w:type="dxa"/>
              <w:bottom w:w="150" w:type="dxa"/>
              <w:end w:w="150" w:type="dxa"/>
            </w:tcMar>
            <w:tcBorders>
              <w:top w:val="single" w:sz="4" w:color="FFFFFF"/>
              <w:left w:val="single" w:sz="4" w:color="FFFFFF"/>
              <w:bottom w:val="single" w:sz="4" w:color="FFFFFF"/>
              <w:right w:val="single" w:sz="4" w:color="FFFFFF"/>
            </w:tcBorders>
          </w:tcPr>
          <w:p>
            <w:r>
              <w:rPr>
                <w:rFonts w:ascii="Aptos" w:hAnsi="Aptos"/>
                <w:b/>
                <w:color w:val="2E6D8F"/>
                <w:sz w:val="18"/>
              </w:rPr>
              <w:t>DIVERSIFICATION</w:t>
            </w:r>
          </w:p>
          <w:p>
            <w:r>
              <w:rPr>
                <w:rFonts w:ascii="Aptos" w:hAnsi="Aptos"/>
                <w:b w:val="0"/>
                <w:color w:val="17212B"/>
                <w:sz w:val="17"/>
              </w:rPr>
              <w:t>Spread exposure so one company, sector, or idea does not control the family’s future.</w:t>
            </w:r>
          </w:p>
        </w:tc>
        <w:tc>
          <w:tcPr>
            <w:tcW w:type="dxa" w:w="5083"/>
            <w:shd w:fill="F4F1E9"/>
            <w:tcMar>
              <w:top w:w="150" w:type="dxa"/>
              <w:start w:w="150" w:type="dxa"/>
              <w:bottom w:w="150" w:type="dxa"/>
              <w:end w:w="150" w:type="dxa"/>
            </w:tcMar>
            <w:tcBorders>
              <w:top w:val="single" w:sz="4" w:color="FFFFFF"/>
              <w:left w:val="single" w:sz="4" w:color="FFFFFF"/>
              <w:bottom w:val="single" w:sz="4" w:color="FFFFFF"/>
              <w:right w:val="single" w:sz="4" w:color="FFFFFF"/>
            </w:tcBorders>
          </w:tcPr>
          <w:p>
            <w:r>
              <w:rPr>
                <w:rFonts w:ascii="Aptos" w:hAnsi="Aptos"/>
                <w:b/>
                <w:color w:val="2E6D8F"/>
                <w:sz w:val="18"/>
              </w:rPr>
              <w:t>ASSET ALLOCATION</w:t>
            </w:r>
          </w:p>
          <w:p>
            <w:r>
              <w:rPr>
                <w:rFonts w:ascii="Aptos" w:hAnsi="Aptos"/>
                <w:b w:val="0"/>
                <w:color w:val="17212B"/>
                <w:sz w:val="17"/>
              </w:rPr>
              <w:t>Match the mix of stocks, bonds, and cash to the goal, time horizon, and ability to handle loss.</w:t>
            </w:r>
          </w:p>
        </w:tc>
      </w:tr>
      <w:tr>
        <w:tc>
          <w:tcPr>
            <w:tcW w:type="dxa" w:w="5083"/>
            <w:shd w:fill="F4F1E9"/>
            <w:tcMar>
              <w:top w:w="150" w:type="dxa"/>
              <w:start w:w="150" w:type="dxa"/>
              <w:bottom w:w="150" w:type="dxa"/>
              <w:end w:w="150" w:type="dxa"/>
            </w:tcMar>
            <w:tcBorders>
              <w:top w:val="single" w:sz="4" w:color="FFFFFF"/>
              <w:left w:val="single" w:sz="4" w:color="FFFFFF"/>
              <w:bottom w:val="single" w:sz="4" w:color="FFFFFF"/>
              <w:right w:val="single" w:sz="4" w:color="FFFFFF"/>
            </w:tcBorders>
          </w:tcPr>
          <w:p>
            <w:r>
              <w:rPr>
                <w:rFonts w:ascii="Aptos" w:hAnsi="Aptos"/>
                <w:b/>
                <w:color w:val="2E6D8F"/>
                <w:sz w:val="18"/>
              </w:rPr>
              <w:t>FEES</w:t>
            </w:r>
          </w:p>
          <w:p>
            <w:r>
              <w:rPr>
                <w:rFonts w:ascii="Aptos" w:hAnsi="Aptos"/>
                <w:b w:val="0"/>
                <w:color w:val="17212B"/>
                <w:sz w:val="17"/>
              </w:rPr>
              <w:t>Small ongoing charges reduce what remains invested and can compound into a large difference over time.</w:t>
            </w:r>
          </w:p>
        </w:tc>
        <w:tc>
          <w:tcPr>
            <w:tcW w:type="dxa" w:w="5083"/>
            <w:shd w:fill="F4F1E9"/>
            <w:tcMar>
              <w:top w:w="150" w:type="dxa"/>
              <w:start w:w="150" w:type="dxa"/>
              <w:bottom w:w="150" w:type="dxa"/>
              <w:end w:w="150" w:type="dxa"/>
            </w:tcMar>
            <w:tcBorders>
              <w:top w:val="single" w:sz="4" w:color="FFFFFF"/>
              <w:left w:val="single" w:sz="4" w:color="FFFFFF"/>
              <w:bottom w:val="single" w:sz="4" w:color="FFFFFF"/>
              <w:right w:val="single" w:sz="4" w:color="FFFFFF"/>
            </w:tcBorders>
          </w:tcPr>
          <w:p>
            <w:r>
              <w:rPr>
                <w:rFonts w:ascii="Aptos" w:hAnsi="Aptos"/>
                <w:b/>
                <w:color w:val="2E6D8F"/>
                <w:sz w:val="18"/>
              </w:rPr>
              <w:t>CONSISTENCY</w:t>
            </w:r>
          </w:p>
          <w:p>
            <w:r>
              <w:rPr>
                <w:rFonts w:ascii="Aptos" w:hAnsi="Aptos"/>
                <w:b w:val="0"/>
                <w:color w:val="17212B"/>
                <w:sz w:val="17"/>
              </w:rPr>
              <w:t>A repeatable contribution from dependable pay is more useful than a heroic amount canceled next month.</w:t>
            </w:r>
          </w:p>
        </w:tc>
      </w:tr>
    </w:tbl>
    <w:p>
      <w:pPr>
        <w:keepNext/>
        <w:spacing w:after="100"/>
      </w:pPr>
      <w:r>
        <w:rPr>
          <w:rFonts w:ascii="Aptos" w:hAnsi="Aptos"/>
          <w:b/>
          <w:color w:val="2E6D8F"/>
          <w:sz w:val="17"/>
        </w:rPr>
        <w:t>THREE THINGS TO COMPARE IN ANY FUND</w:t>
      </w:r>
    </w:p>
    <w:tbl>
      <w:tblPr>
        <w:tblW w:type="auto" w:w="0"/>
        <w:jc w:val="left"/>
        <w:tblLayout w:type="fixed"/>
        <w:tblLook w:firstColumn="1" w:firstRow="1" w:lastColumn="0" w:lastRow="0" w:noHBand="0" w:noVBand="1" w:val="04A0"/>
      </w:tblPr>
      <w:tblGrid>
        <w:gridCol w:w="346"/>
        <w:gridCol w:w="9432"/>
      </w:tblGrid>
      <w:tr>
        <w:tc>
          <w:tcPr>
            <w:tcW w:type="dxa" w:w="5083"/>
            <w:tcBorders>
              <w:top w:val="nil"/>
              <w:left w:val="nil"/>
              <w:bottom w:val="nil"/>
              <w:right w:val="nil"/>
            </w:tcBorders>
            <w:tcMar>
              <w:top w:w="20" w:type="dxa"/>
              <w:start w:w="0" w:type="dxa"/>
              <w:bottom w:w="15" w:type="dxa"/>
              <w:end w:w="25" w:type="dxa"/>
            </w:tcMar>
          </w:tcPr>
          <w:p>
            <w:r>
              <w:rPr>
                <w:rFonts w:ascii="Aptos" w:hAnsi="Aptos"/>
                <w:b/>
                <w:color w:val="F2B842"/>
                <w:sz w:val="16"/>
              </w:rPr>
              <w:t>■</w:t>
            </w:r>
          </w:p>
        </w:tc>
        <w:tc>
          <w:tcPr>
            <w:tcW w:type="dxa" w:w="5083"/>
            <w:tcBorders>
              <w:top w:val="nil"/>
              <w:left w:val="nil"/>
              <w:bottom w:val="nil"/>
              <w:right w:val="nil"/>
            </w:tcBorders>
            <w:tcMar>
              <w:top w:w="20" w:type="dxa"/>
              <w:start w:w="0" w:type="dxa"/>
              <w:bottom w:w="15" w:type="dxa"/>
              <w:end w:w="0" w:type="dxa"/>
            </w:tcMar>
          </w:tcPr>
          <w:p>
            <w:pPr>
              <w:spacing w:line="269" w:lineRule="auto"/>
            </w:pPr>
            <w:r>
              <w:rPr>
                <w:rFonts w:ascii="Aptos" w:hAnsi="Aptos"/>
                <w:b w:val="0"/>
                <w:color w:val="17212B"/>
                <w:sz w:val="18"/>
              </w:rPr>
              <w:t>What it owns and how concentrated those holdings are.</w:t>
            </w:r>
          </w:p>
        </w:tc>
      </w:tr>
    </w:tbl>
    <w:tbl>
      <w:tblPr>
        <w:tblW w:type="auto" w:w="0"/>
        <w:jc w:val="left"/>
        <w:tblLayout w:type="fixed"/>
        <w:tblLook w:firstColumn="1" w:firstRow="1" w:lastColumn="0" w:lastRow="0" w:noHBand="0" w:noVBand="1" w:val="04A0"/>
      </w:tblPr>
      <w:tblGrid>
        <w:gridCol w:w="346"/>
        <w:gridCol w:w="9432"/>
      </w:tblGrid>
      <w:tr>
        <w:tc>
          <w:tcPr>
            <w:tcW w:type="dxa" w:w="5083"/>
            <w:tcBorders>
              <w:top w:val="nil"/>
              <w:left w:val="nil"/>
              <w:bottom w:val="nil"/>
              <w:right w:val="nil"/>
            </w:tcBorders>
            <w:tcMar>
              <w:top w:w="20" w:type="dxa"/>
              <w:start w:w="0" w:type="dxa"/>
              <w:bottom w:w="15" w:type="dxa"/>
              <w:end w:w="25" w:type="dxa"/>
            </w:tcMar>
          </w:tcPr>
          <w:p>
            <w:r>
              <w:rPr>
                <w:rFonts w:ascii="Aptos" w:hAnsi="Aptos"/>
                <w:b/>
                <w:color w:val="F2B842"/>
                <w:sz w:val="16"/>
              </w:rPr>
              <w:t>■</w:t>
            </w:r>
          </w:p>
        </w:tc>
        <w:tc>
          <w:tcPr>
            <w:tcW w:type="dxa" w:w="5083"/>
            <w:tcBorders>
              <w:top w:val="nil"/>
              <w:left w:val="nil"/>
              <w:bottom w:val="nil"/>
              <w:right w:val="nil"/>
            </w:tcBorders>
            <w:tcMar>
              <w:top w:w="20" w:type="dxa"/>
              <w:start w:w="0" w:type="dxa"/>
              <w:bottom w:w="15" w:type="dxa"/>
              <w:end w:w="0" w:type="dxa"/>
            </w:tcMar>
          </w:tcPr>
          <w:p>
            <w:pPr>
              <w:spacing w:line="269" w:lineRule="auto"/>
            </w:pPr>
            <w:r>
              <w:rPr>
                <w:rFonts w:ascii="Aptos" w:hAnsi="Aptos"/>
                <w:b w:val="0"/>
                <w:color w:val="17212B"/>
                <w:sz w:val="18"/>
              </w:rPr>
              <w:t>Its investment objective, risk, and how the mix may change.</w:t>
            </w:r>
          </w:p>
        </w:tc>
      </w:tr>
    </w:tbl>
    <w:tbl>
      <w:tblPr>
        <w:tblW w:type="auto" w:w="0"/>
        <w:jc w:val="left"/>
        <w:tblLayout w:type="fixed"/>
        <w:tblLook w:firstColumn="1" w:firstRow="1" w:lastColumn="0" w:lastRow="0" w:noHBand="0" w:noVBand="1" w:val="04A0"/>
      </w:tblPr>
      <w:tblGrid>
        <w:gridCol w:w="346"/>
        <w:gridCol w:w="9432"/>
      </w:tblGrid>
      <w:tr>
        <w:tc>
          <w:tcPr>
            <w:tcW w:type="dxa" w:w="5083"/>
            <w:tcBorders>
              <w:top w:val="nil"/>
              <w:left w:val="nil"/>
              <w:bottom w:val="nil"/>
              <w:right w:val="nil"/>
            </w:tcBorders>
            <w:tcMar>
              <w:top w:w="20" w:type="dxa"/>
              <w:start w:w="0" w:type="dxa"/>
              <w:bottom w:w="15" w:type="dxa"/>
              <w:end w:w="25" w:type="dxa"/>
            </w:tcMar>
          </w:tcPr>
          <w:p>
            <w:r>
              <w:rPr>
                <w:rFonts w:ascii="Aptos" w:hAnsi="Aptos"/>
                <w:b/>
                <w:color w:val="F2B842"/>
                <w:sz w:val="16"/>
              </w:rPr>
              <w:t>■</w:t>
            </w:r>
          </w:p>
        </w:tc>
        <w:tc>
          <w:tcPr>
            <w:tcW w:type="dxa" w:w="5083"/>
            <w:tcBorders>
              <w:top w:val="nil"/>
              <w:left w:val="nil"/>
              <w:bottom w:val="nil"/>
              <w:right w:val="nil"/>
            </w:tcBorders>
            <w:tcMar>
              <w:top w:w="20" w:type="dxa"/>
              <w:start w:w="0" w:type="dxa"/>
              <w:bottom w:w="15" w:type="dxa"/>
              <w:end w:w="0" w:type="dxa"/>
            </w:tcMar>
          </w:tcPr>
          <w:p>
            <w:pPr>
              <w:spacing w:line="269" w:lineRule="auto"/>
            </w:pPr>
            <w:r>
              <w:rPr>
                <w:rFonts w:ascii="Aptos" w:hAnsi="Aptos"/>
                <w:b w:val="0"/>
                <w:color w:val="17212B"/>
                <w:sz w:val="18"/>
              </w:rPr>
              <w:t>The expense ratio plus any account, trading, advisory, or sales charges.</w:t>
            </w:r>
          </w:p>
        </w:tc>
      </w:tr>
    </w:tbl>
    <w:p>
      <w:pPr>
        <w:spacing w:before="140" w:after="0"/>
      </w:pPr>
      <w:r>
        <w:rPr>
          <w:rFonts w:ascii="Aptos" w:hAnsi="Aptos"/>
          <w:b/>
          <w:color w:val="5D6871"/>
          <w:sz w:val="15"/>
        </w:rPr>
        <w:t xml:space="preserve">OFFICIAL REFERENCE  </w:t>
      </w:r>
      <w:hyperlink r:id="rId14">
        <w:r>
          <w:rPr>
            <w:color w:val="2E6D8F"/>
            <w:u w:val="single"/>
          </w:rPr>
          <w:t>Investor.gov — Asset Allocation and Diversification</w:t>
        </w:r>
      </w:hyperlink>
    </w:p>
    <w:p>
      <w:r>
        <w:br w:type="page"/>
      </w:r>
    </w:p>
    <w:tbl>
      <w:tblPr>
        <w:tblW w:type="auto" w:w="0"/>
        <w:jc w:val="left"/>
        <w:tblLayout w:type="fixed"/>
        <w:tblLook w:firstColumn="1" w:firstRow="1" w:lastColumn="0" w:lastRow="0" w:noHBand="0" w:noVBand="1" w:val="04A0"/>
      </w:tblPr>
      <w:tblGrid>
        <w:gridCol w:w="1037"/>
        <w:gridCol w:w="8712"/>
      </w:tblGrid>
      <w:tr>
        <w:tc>
          <w:tcPr>
            <w:tcW w:type="dxa" w:w="5083"/>
            <w:tcBorders>
              <w:top w:val="nil"/>
              <w:left w:val="nil"/>
              <w:bottom w:val="nil"/>
              <w:right w:val="nil"/>
            </w:tcBorders>
            <w:shd w:fill="F2B842"/>
            <w:tcMar>
              <w:top w:w="120" w:type="dxa"/>
              <w:start w:w="60" w:type="dxa"/>
              <w:bottom w:w="120" w:type="dxa"/>
              <w:end w:w="60" w:type="dxa"/>
            </w:tcMar>
            <w:vAlign w:val="center"/>
          </w:tcPr>
          <w:p>
            <w:pPr>
              <w:jc w:val="center"/>
            </w:pPr>
            <w:r>
              <w:rPr>
                <w:rFonts w:ascii="Arial Narrow" w:hAnsi="Arial Narrow"/>
                <w:b/>
                <w:color w:val="142436"/>
                <w:sz w:val="42"/>
              </w:rPr>
              <w:t>06</w:t>
            </w:r>
          </w:p>
        </w:tc>
        <w:tc>
          <w:tcPr>
            <w:tcW w:type="dxa" w:w="5083"/>
            <w:tcBorders>
              <w:top w:val="nil"/>
              <w:left w:val="nil"/>
              <w:bottom w:val="nil"/>
              <w:right w:val="nil"/>
            </w:tcBorders>
            <w:tcMar>
              <w:top w:w="20" w:type="dxa"/>
              <w:start w:w="180" w:type="dxa"/>
              <w:bottom w:w="0" w:type="dxa"/>
              <w:end w:w="0" w:type="dxa"/>
            </w:tcMar>
          </w:tcPr>
          <w:p>
            <w:pPr>
              <w:spacing w:after="80"/>
            </w:pPr>
            <w:r>
              <w:rPr>
                <w:rFonts w:ascii="Aptos" w:hAnsi="Aptos"/>
                <w:b/>
                <w:color w:val="2E6D8F"/>
                <w:sz w:val="16"/>
              </w:rPr>
              <w:t>INDIVIDUAL COMPANY WORK ORDER</w:t>
            </w:r>
          </w:p>
          <w:p>
            <w:pPr>
              <w:spacing w:after="0"/>
            </w:pPr>
            <w:r>
              <w:rPr>
                <w:rFonts w:ascii="Arial Narrow" w:hAnsi="Arial Narrow"/>
                <w:b/>
                <w:caps/>
                <w:color w:val="000000"/>
                <w:sz w:val="51"/>
              </w:rPr>
              <w:t>Inspect the business—not the excitement.</w:t>
            </w:r>
          </w:p>
        </w:tc>
      </w:tr>
    </w:tbl>
    <w:p>
      <w:pPr>
        <w:spacing w:before="300" w:after="280" w:line="276" w:lineRule="auto"/>
      </w:pPr>
      <w:r>
        <w:rPr>
          <w:rFonts w:ascii="Aptos" w:hAnsi="Aptos"/>
          <w:b w:val="0"/>
          <w:color w:val="5D6871"/>
          <w:sz w:val="23"/>
        </w:rPr>
        <w:t>An individual stock is a concentrated claim on one business. Price movement is not a substitute for understanding how that business earns, spends, and survives.</w:t>
      </w:r>
    </w:p>
    <w:tbl>
      <w:tblPr>
        <w:tblW w:type="auto" w:w="0"/>
        <w:jc w:val="left"/>
        <w:tblLayout w:type="fixed"/>
        <w:tblLook w:firstColumn="1" w:firstRow="1" w:lastColumn="0" w:lastRow="0" w:noHBand="0" w:noVBand="1" w:val="04A0"/>
      </w:tblPr>
      <w:tblGrid>
        <w:gridCol w:w="5083"/>
        <w:gridCol w:w="5083"/>
      </w:tblGrid>
      <w:tr>
        <w:tc>
          <w:tcPr>
            <w:tcW w:type="dxa" w:w="720"/>
            <w:shd w:fill="142436"/>
            <w:tcMar>
              <w:top w:w="105" w:type="dxa"/>
              <w:start w:w="70" w:type="dxa"/>
              <w:bottom w:w="105" w:type="dxa"/>
              <w:end w:w="70" w:type="dxa"/>
            </w:tcMar>
            <w:tcBorders>
              <w:top w:val="nil"/>
              <w:left w:val="nil"/>
              <w:bottom w:val="nil"/>
              <w:right w:val="nil"/>
            </w:tcBorders>
          </w:tcPr>
          <w:p>
            <w:pPr>
              <w:jc w:val="center"/>
            </w:pPr>
            <w:r>
              <w:rPr>
                <w:rFonts w:ascii="Aptos" w:hAnsi="Aptos"/>
                <w:b/>
                <w:color w:val="F2B842"/>
                <w:sz w:val="18"/>
              </w:rPr>
              <w:t>01</w:t>
            </w:r>
          </w:p>
        </w:tc>
        <w:tc>
          <w:tcPr>
            <w:tcW w:type="dxa" w:w="9000"/>
            <w:shd w:fill="F4F1E9"/>
            <w:tcMar>
              <w:top w:w="105" w:type="dxa"/>
              <w:start w:w="130" w:type="dxa"/>
              <w:bottom w:w="105" w:type="dxa"/>
              <w:end w:w="130" w:type="dxa"/>
            </w:tcMar>
            <w:tcBorders>
              <w:top w:val="nil"/>
              <w:left w:val="nil"/>
              <w:bottom w:val="nil"/>
              <w:right w:val="nil"/>
            </w:tcBorders>
          </w:tcPr>
          <w:p>
            <w:r>
              <w:rPr>
                <w:rFonts w:ascii="Aptos" w:hAnsi="Aptos"/>
                <w:b/>
                <w:color w:val="142436"/>
                <w:sz w:val="17"/>
              </w:rPr>
              <w:t>How does this business make money—and can I explain it without repeating a slogan?</w:t>
            </w:r>
          </w:p>
        </w:tc>
      </w:tr>
    </w:tbl>
    <w:tbl>
      <w:tblPr>
        <w:tblW w:type="auto" w:w="0"/>
        <w:jc w:val="left"/>
        <w:tblLayout w:type="fixed"/>
        <w:tblLook w:firstColumn="1" w:firstRow="1" w:lastColumn="0" w:lastRow="0" w:noHBand="0" w:noVBand="1" w:val="04A0"/>
      </w:tblPr>
      <w:tblGrid>
        <w:gridCol w:w="5083"/>
        <w:gridCol w:w="5083"/>
      </w:tblGrid>
      <w:tr>
        <w:tc>
          <w:tcPr>
            <w:tcW w:type="dxa" w:w="720"/>
            <w:shd w:fill="142436"/>
            <w:tcMar>
              <w:top w:w="105" w:type="dxa"/>
              <w:start w:w="70" w:type="dxa"/>
              <w:bottom w:w="105" w:type="dxa"/>
              <w:end w:w="70" w:type="dxa"/>
            </w:tcMar>
            <w:tcBorders>
              <w:top w:val="nil"/>
              <w:left w:val="nil"/>
              <w:bottom w:val="nil"/>
              <w:right w:val="nil"/>
            </w:tcBorders>
          </w:tcPr>
          <w:p>
            <w:pPr>
              <w:jc w:val="center"/>
            </w:pPr>
            <w:r>
              <w:rPr>
                <w:rFonts w:ascii="Aptos" w:hAnsi="Aptos"/>
                <w:b/>
                <w:color w:val="F2B842"/>
                <w:sz w:val="18"/>
              </w:rPr>
              <w:t>02</w:t>
            </w:r>
          </w:p>
        </w:tc>
        <w:tc>
          <w:tcPr>
            <w:tcW w:type="dxa" w:w="9000"/>
            <w:shd w:fill="F4F1E9"/>
            <w:tcMar>
              <w:top w:w="105" w:type="dxa"/>
              <w:start w:w="130" w:type="dxa"/>
              <w:bottom w:w="105" w:type="dxa"/>
              <w:end w:w="130" w:type="dxa"/>
            </w:tcMar>
            <w:tcBorders>
              <w:top w:val="nil"/>
              <w:left w:val="nil"/>
              <w:bottom w:val="nil"/>
              <w:right w:val="nil"/>
            </w:tcBorders>
          </w:tcPr>
          <w:p>
            <w:r>
              <w:rPr>
                <w:rFonts w:ascii="Aptos" w:hAnsi="Aptos"/>
                <w:b/>
                <w:color w:val="142436"/>
                <w:sz w:val="17"/>
              </w:rPr>
              <w:t>Are revenue, profit, and cash flow moving in a healthy direction over time?</w:t>
            </w:r>
          </w:p>
        </w:tc>
      </w:tr>
    </w:tbl>
    <w:tbl>
      <w:tblPr>
        <w:tblW w:type="auto" w:w="0"/>
        <w:jc w:val="left"/>
        <w:tblLayout w:type="fixed"/>
        <w:tblLook w:firstColumn="1" w:firstRow="1" w:lastColumn="0" w:lastRow="0" w:noHBand="0" w:noVBand="1" w:val="04A0"/>
      </w:tblPr>
      <w:tblGrid>
        <w:gridCol w:w="5083"/>
        <w:gridCol w:w="5083"/>
      </w:tblGrid>
      <w:tr>
        <w:tc>
          <w:tcPr>
            <w:tcW w:type="dxa" w:w="720"/>
            <w:shd w:fill="142436"/>
            <w:tcMar>
              <w:top w:w="105" w:type="dxa"/>
              <w:start w:w="70" w:type="dxa"/>
              <w:bottom w:w="105" w:type="dxa"/>
              <w:end w:w="70" w:type="dxa"/>
            </w:tcMar>
            <w:tcBorders>
              <w:top w:val="nil"/>
              <w:left w:val="nil"/>
              <w:bottom w:val="nil"/>
              <w:right w:val="nil"/>
            </w:tcBorders>
          </w:tcPr>
          <w:p>
            <w:pPr>
              <w:jc w:val="center"/>
            </w:pPr>
            <w:r>
              <w:rPr>
                <w:rFonts w:ascii="Aptos" w:hAnsi="Aptos"/>
                <w:b/>
                <w:color w:val="F2B842"/>
                <w:sz w:val="18"/>
              </w:rPr>
              <w:t>03</w:t>
            </w:r>
          </w:p>
        </w:tc>
        <w:tc>
          <w:tcPr>
            <w:tcW w:type="dxa" w:w="9000"/>
            <w:shd w:fill="F4F1E9"/>
            <w:tcMar>
              <w:top w:w="105" w:type="dxa"/>
              <w:start w:w="130" w:type="dxa"/>
              <w:bottom w:w="105" w:type="dxa"/>
              <w:end w:w="130" w:type="dxa"/>
            </w:tcMar>
            <w:tcBorders>
              <w:top w:val="nil"/>
              <w:left w:val="nil"/>
              <w:bottom w:val="nil"/>
              <w:right w:val="nil"/>
            </w:tcBorders>
          </w:tcPr>
          <w:p>
            <w:r>
              <w:rPr>
                <w:rFonts w:ascii="Aptos" w:hAnsi="Aptos"/>
                <w:b/>
                <w:color w:val="142436"/>
                <w:sz w:val="17"/>
              </w:rPr>
              <w:t>How much debt does the company carry, and can the business comfortably service it?</w:t>
            </w:r>
          </w:p>
        </w:tc>
      </w:tr>
    </w:tbl>
    <w:tbl>
      <w:tblPr>
        <w:tblW w:type="auto" w:w="0"/>
        <w:jc w:val="left"/>
        <w:tblLayout w:type="fixed"/>
        <w:tblLook w:firstColumn="1" w:firstRow="1" w:lastColumn="0" w:lastRow="0" w:noHBand="0" w:noVBand="1" w:val="04A0"/>
      </w:tblPr>
      <w:tblGrid>
        <w:gridCol w:w="5083"/>
        <w:gridCol w:w="5083"/>
      </w:tblGrid>
      <w:tr>
        <w:tc>
          <w:tcPr>
            <w:tcW w:type="dxa" w:w="720"/>
            <w:shd w:fill="142436"/>
            <w:tcMar>
              <w:top w:w="105" w:type="dxa"/>
              <w:start w:w="70" w:type="dxa"/>
              <w:bottom w:w="105" w:type="dxa"/>
              <w:end w:w="70" w:type="dxa"/>
            </w:tcMar>
            <w:tcBorders>
              <w:top w:val="nil"/>
              <w:left w:val="nil"/>
              <w:bottom w:val="nil"/>
              <w:right w:val="nil"/>
            </w:tcBorders>
          </w:tcPr>
          <w:p>
            <w:pPr>
              <w:jc w:val="center"/>
            </w:pPr>
            <w:r>
              <w:rPr>
                <w:rFonts w:ascii="Aptos" w:hAnsi="Aptos"/>
                <w:b/>
                <w:color w:val="F2B842"/>
                <w:sz w:val="18"/>
              </w:rPr>
              <w:t>04</w:t>
            </w:r>
          </w:p>
        </w:tc>
        <w:tc>
          <w:tcPr>
            <w:tcW w:type="dxa" w:w="9000"/>
            <w:shd w:fill="F4F1E9"/>
            <w:tcMar>
              <w:top w:w="105" w:type="dxa"/>
              <w:start w:w="130" w:type="dxa"/>
              <w:bottom w:w="105" w:type="dxa"/>
              <w:end w:w="130" w:type="dxa"/>
            </w:tcMar>
            <w:tcBorders>
              <w:top w:val="nil"/>
              <w:left w:val="nil"/>
              <w:bottom w:val="nil"/>
              <w:right w:val="nil"/>
            </w:tcBorders>
          </w:tcPr>
          <w:p>
            <w:r>
              <w:rPr>
                <w:rFonts w:ascii="Aptos" w:hAnsi="Aptos"/>
                <w:b/>
                <w:color w:val="142436"/>
                <w:sz w:val="17"/>
              </w:rPr>
              <w:t>What could permanently damage the business, not merely move its stock price this week?</w:t>
            </w:r>
          </w:p>
        </w:tc>
      </w:tr>
    </w:tbl>
    <w:tbl>
      <w:tblPr>
        <w:tblW w:type="auto" w:w="0"/>
        <w:jc w:val="left"/>
        <w:tblLayout w:type="fixed"/>
        <w:tblLook w:firstColumn="1" w:firstRow="1" w:lastColumn="0" w:lastRow="0" w:noHBand="0" w:noVBand="1" w:val="04A0"/>
      </w:tblPr>
      <w:tblGrid>
        <w:gridCol w:w="5083"/>
        <w:gridCol w:w="5083"/>
      </w:tblGrid>
      <w:tr>
        <w:tc>
          <w:tcPr>
            <w:tcW w:type="dxa" w:w="720"/>
            <w:shd w:fill="142436"/>
            <w:tcMar>
              <w:top w:w="105" w:type="dxa"/>
              <w:start w:w="70" w:type="dxa"/>
              <w:bottom w:w="105" w:type="dxa"/>
              <w:end w:w="70" w:type="dxa"/>
            </w:tcMar>
            <w:tcBorders>
              <w:top w:val="nil"/>
              <w:left w:val="nil"/>
              <w:bottom w:val="nil"/>
              <w:right w:val="nil"/>
            </w:tcBorders>
          </w:tcPr>
          <w:p>
            <w:pPr>
              <w:jc w:val="center"/>
            </w:pPr>
            <w:r>
              <w:rPr>
                <w:rFonts w:ascii="Aptos" w:hAnsi="Aptos"/>
                <w:b/>
                <w:color w:val="F2B842"/>
                <w:sz w:val="18"/>
              </w:rPr>
              <w:t>05</w:t>
            </w:r>
          </w:p>
        </w:tc>
        <w:tc>
          <w:tcPr>
            <w:tcW w:type="dxa" w:w="9000"/>
            <w:shd w:fill="F4F1E9"/>
            <w:tcMar>
              <w:top w:w="105" w:type="dxa"/>
              <w:start w:w="130" w:type="dxa"/>
              <w:bottom w:w="105" w:type="dxa"/>
              <w:end w:w="130" w:type="dxa"/>
            </w:tcMar>
            <w:tcBorders>
              <w:top w:val="nil"/>
              <w:left w:val="nil"/>
              <w:bottom w:val="nil"/>
              <w:right w:val="nil"/>
            </w:tcBorders>
          </w:tcPr>
          <w:p>
            <w:r>
              <w:rPr>
                <w:rFonts w:ascii="Aptos" w:hAnsi="Aptos"/>
                <w:b/>
                <w:color w:val="142436"/>
                <w:sz w:val="17"/>
              </w:rPr>
              <w:t>What am I paying for each dollar of the business—and what assumptions must come true?</w:t>
            </w:r>
          </w:p>
        </w:tc>
      </w:tr>
    </w:tbl>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WHY THIS BUSINESS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WHAT WOULD PROVE ME WRONG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MAXIMUM POSITION SIZE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ayout w:type="fixed"/>
        <w:tblLook w:firstColumn="1" w:firstRow="1" w:lastColumn="0" w:lastRow="0" w:noHBand="0" w:noVBand="1" w:val="04A0"/>
      </w:tblPr>
      <w:tblGrid>
        <w:gridCol w:w="173"/>
        <w:gridCol w:w="9619"/>
      </w:tblGrid>
      <w:tr>
        <w:tc>
          <w:tcPr>
            <w:tcW w:type="dxa" w:w="5083"/>
            <w:tcBorders>
              <w:top w:val="nil"/>
              <w:left w:val="nil"/>
              <w:bottom w:val="nil"/>
              <w:right w:val="nil"/>
            </w:tcBorders>
            <w:shd w:fill="F2B842"/>
            <w:tcMar>
              <w:top w:w="0" w:type="dxa"/>
              <w:start w:w="0" w:type="dxa"/>
              <w:bottom w:w="0" w:type="dxa"/>
              <w:end w:w="0" w:type="dxa"/>
            </w:tcMar>
          </w:tcPr>
          <w:p/>
        </w:tc>
        <w:tc>
          <w:tcPr>
            <w:tcW w:type="dxa" w:w="5083"/>
            <w:tcBorders>
              <w:top w:val="nil"/>
              <w:left w:val="nil"/>
              <w:bottom w:val="nil"/>
              <w:right w:val="nil"/>
            </w:tcBorders>
            <w:shd w:fill="E8EEF1"/>
            <w:tcMar>
              <w:top w:w="145" w:type="dxa"/>
              <w:start w:w="180" w:type="dxa"/>
              <w:bottom w:w="145" w:type="dxa"/>
              <w:end w:w="180" w:type="dxa"/>
            </w:tcMar>
          </w:tcPr>
          <w:p>
            <w:pPr>
              <w:spacing w:after="80"/>
            </w:pPr>
            <w:r>
              <w:rPr>
                <w:rFonts w:ascii="Aptos" w:hAnsi="Aptos"/>
                <w:b/>
                <w:color w:val="142436"/>
                <w:sz w:val="16"/>
              </w:rPr>
              <w:t>RESEARCH RULE</w:t>
            </w:r>
          </w:p>
          <w:p>
            <w:pPr>
              <w:spacing w:after="0" w:line="276" w:lineRule="auto"/>
            </w:pPr>
            <w:r>
              <w:rPr>
                <w:rFonts w:ascii="Aptos" w:hAnsi="Aptos"/>
                <w:b w:val="0"/>
                <w:color w:val="17212B"/>
                <w:sz w:val="18"/>
              </w:rPr>
              <w:t>Use company filings and the SEC’s EDGAR database—not a clip, group chat, testimonial, or price chart alone. If you cannot explain the business and the risk, keep learning.</w:t>
            </w:r>
          </w:p>
        </w:tc>
      </w:tr>
    </w:tbl>
    <w:p>
      <w:pPr>
        <w:spacing w:before="140" w:after="0"/>
      </w:pPr>
      <w:r>
        <w:rPr>
          <w:rFonts w:ascii="Aptos" w:hAnsi="Aptos"/>
          <w:b/>
          <w:color w:val="5D6871"/>
          <w:sz w:val="15"/>
        </w:rPr>
        <w:t xml:space="preserve">OFFICIAL REFERENCE  </w:t>
      </w:r>
      <w:hyperlink r:id="rId15">
        <w:r>
          <w:rPr>
            <w:color w:val="2E6D8F"/>
            <w:u w:val="single"/>
          </w:rPr>
          <w:t>Investor.gov — Investing on Your Own</w:t>
        </w:r>
      </w:hyperlink>
    </w:p>
    <w:p>
      <w:r>
        <w:br w:type="page"/>
      </w:r>
    </w:p>
    <w:tbl>
      <w:tblPr>
        <w:tblW w:type="auto" w:w="0"/>
        <w:jc w:val="left"/>
        <w:tblLayout w:type="fixed"/>
        <w:tblLook w:firstColumn="1" w:firstRow="1" w:lastColumn="0" w:lastRow="0" w:noHBand="0" w:noVBand="1" w:val="04A0"/>
      </w:tblPr>
      <w:tblGrid>
        <w:gridCol w:w="1037"/>
        <w:gridCol w:w="8712"/>
      </w:tblGrid>
      <w:tr>
        <w:tc>
          <w:tcPr>
            <w:tcW w:type="dxa" w:w="5083"/>
            <w:tcBorders>
              <w:top w:val="nil"/>
              <w:left w:val="nil"/>
              <w:bottom w:val="nil"/>
              <w:right w:val="nil"/>
            </w:tcBorders>
            <w:shd w:fill="F2B842"/>
            <w:tcMar>
              <w:top w:w="120" w:type="dxa"/>
              <w:start w:w="60" w:type="dxa"/>
              <w:bottom w:w="120" w:type="dxa"/>
              <w:end w:w="60" w:type="dxa"/>
            </w:tcMar>
            <w:vAlign w:val="center"/>
          </w:tcPr>
          <w:p>
            <w:pPr>
              <w:jc w:val="center"/>
            </w:pPr>
            <w:r>
              <w:rPr>
                <w:rFonts w:ascii="Arial Narrow" w:hAnsi="Arial Narrow"/>
                <w:b/>
                <w:color w:val="142436"/>
                <w:sz w:val="42"/>
              </w:rPr>
              <w:t>07</w:t>
            </w:r>
          </w:p>
        </w:tc>
        <w:tc>
          <w:tcPr>
            <w:tcW w:type="dxa" w:w="5083"/>
            <w:tcBorders>
              <w:top w:val="nil"/>
              <w:left w:val="nil"/>
              <w:bottom w:val="nil"/>
              <w:right w:val="nil"/>
            </w:tcBorders>
            <w:tcMar>
              <w:top w:w="20" w:type="dxa"/>
              <w:start w:w="180" w:type="dxa"/>
              <w:bottom w:w="0" w:type="dxa"/>
              <w:end w:w="0" w:type="dxa"/>
            </w:tcMar>
          </w:tcPr>
          <w:p>
            <w:pPr>
              <w:spacing w:after="80"/>
            </w:pPr>
            <w:r>
              <w:rPr>
                <w:rFonts w:ascii="Aptos" w:hAnsi="Aptos"/>
                <w:b/>
                <w:color w:val="2E6D8F"/>
                <w:sz w:val="16"/>
              </w:rPr>
              <w:t>BUILD HARD · RUN SOFT</w:t>
            </w:r>
          </w:p>
          <w:p>
            <w:pPr>
              <w:spacing w:after="0"/>
            </w:pPr>
            <w:r>
              <w:rPr>
                <w:rFonts w:ascii="Arial Narrow" w:hAnsi="Arial Narrow"/>
                <w:b/>
                <w:caps/>
                <w:color w:val="000000"/>
                <w:sz w:val="51"/>
              </w:rPr>
              <w:t>Automate the base. Give overtime a separate work order.</w:t>
            </w:r>
          </w:p>
        </w:tc>
      </w:tr>
    </w:tbl>
    <w:p>
      <w:pPr>
        <w:spacing w:before="300" w:after="280" w:line="276" w:lineRule="auto"/>
      </w:pPr>
      <w:r>
        <w:rPr>
          <w:rFonts w:ascii="Aptos" w:hAnsi="Aptos"/>
          <w:b w:val="0"/>
          <w:color w:val="5D6871"/>
          <w:sz w:val="23"/>
        </w:rPr>
        <w:t>A good system should make the right action easier on a tired Tuesday—not depend on motivation after every paycheck.</w:t>
      </w:r>
    </w:p>
    <w:tbl>
      <w:tblPr>
        <w:tblW w:type="auto" w:w="0"/>
        <w:jc w:val="left"/>
        <w:tblLayout w:type="fixed"/>
        <w:tblLook w:firstColumn="1" w:firstRow="1" w:lastColumn="0" w:lastRow="0" w:noHBand="0" w:noVBand="1" w:val="04A0"/>
      </w:tblPr>
      <w:tblGrid>
        <w:gridCol w:w="3389"/>
        <w:gridCol w:w="3389"/>
        <w:gridCol w:w="3389"/>
      </w:tblGrid>
      <w:tr>
        <w:tc>
          <w:tcPr>
            <w:tcW w:type="dxa" w:w="3389"/>
            <w:shd w:fill="F4F1E9"/>
            <w:tcMar>
              <w:top w:w="150" w:type="dxa"/>
              <w:start w:w="125" w:type="dxa"/>
              <w:bottom w:w="150" w:type="dxa"/>
              <w:end w:w="125" w:type="dxa"/>
            </w:tcMar>
            <w:tcBorders>
              <w:top w:val="nil"/>
              <w:left w:val="nil"/>
              <w:bottom w:val="nil"/>
              <w:right w:val="nil"/>
            </w:tcBorders>
          </w:tcPr>
          <w:p>
            <w:r>
              <w:rPr>
                <w:rFonts w:ascii="Arial Narrow" w:hAnsi="Arial Narrow"/>
                <w:b/>
                <w:color w:val="F2B842"/>
                <w:sz w:val="36"/>
              </w:rPr>
              <w:t>A</w:t>
            </w:r>
          </w:p>
          <w:p>
            <w:r>
              <w:rPr>
                <w:rFonts w:ascii="Aptos" w:hAnsi="Aptos"/>
                <w:b/>
                <w:color w:val="142436"/>
                <w:sz w:val="17"/>
              </w:rPr>
              <w:t>DEPENDABLE PAY</w:t>
            </w:r>
          </w:p>
          <w:p>
            <w:r>
              <w:rPr>
                <w:rFonts w:ascii="Aptos" w:hAnsi="Aptos"/>
                <w:b w:val="0"/>
                <w:color w:val="17212B"/>
                <w:sz w:val="16"/>
              </w:rPr>
              <w:t>Choose a contribution small enough to survive an ordinary month. Schedule it near payday and increase it only when the floor remains safe.</w:t>
            </w:r>
          </w:p>
        </w:tc>
        <w:tc>
          <w:tcPr>
            <w:tcW w:type="dxa" w:w="3389"/>
            <w:shd w:fill="E8EEF1"/>
            <w:tcMar>
              <w:top w:w="150" w:type="dxa"/>
              <w:start w:w="125" w:type="dxa"/>
              <w:bottom w:w="150" w:type="dxa"/>
              <w:end w:w="125" w:type="dxa"/>
            </w:tcMar>
            <w:tcBorders>
              <w:top w:val="nil"/>
              <w:left w:val="nil"/>
              <w:bottom w:val="nil"/>
              <w:right w:val="nil"/>
            </w:tcBorders>
          </w:tcPr>
          <w:p>
            <w:r>
              <w:rPr>
                <w:rFonts w:ascii="Arial Narrow" w:hAnsi="Arial Narrow"/>
                <w:b/>
                <w:color w:val="F2B842"/>
                <w:sz w:val="36"/>
              </w:rPr>
              <w:t>B</w:t>
            </w:r>
          </w:p>
          <w:p>
            <w:r>
              <w:rPr>
                <w:rFonts w:ascii="Aptos" w:hAnsi="Aptos"/>
                <w:b/>
                <w:color w:val="142436"/>
                <w:sz w:val="17"/>
              </w:rPr>
              <w:t>OVERTIME &amp; EXTRAS</w:t>
            </w:r>
          </w:p>
          <w:p>
            <w:r>
              <w:rPr>
                <w:rFonts w:ascii="Aptos" w:hAnsi="Aptos"/>
                <w:b w:val="0"/>
                <w:color w:val="17212B"/>
                <w:sz w:val="16"/>
              </w:rPr>
              <w:t>Assign a percentage after the check clears: current gap, buffer, known expenses, expensive debt, then long-term ownership.</w:t>
            </w:r>
          </w:p>
        </w:tc>
        <w:tc>
          <w:tcPr>
            <w:tcW w:type="dxa" w:w="3389"/>
            <w:shd w:fill="F4F1E9"/>
            <w:tcMar>
              <w:top w:w="150" w:type="dxa"/>
              <w:start w:w="125" w:type="dxa"/>
              <w:bottom w:w="150" w:type="dxa"/>
              <w:end w:w="125" w:type="dxa"/>
            </w:tcMar>
            <w:tcBorders>
              <w:top w:val="nil"/>
              <w:left w:val="nil"/>
              <w:bottom w:val="nil"/>
              <w:right w:val="nil"/>
            </w:tcBorders>
          </w:tcPr>
          <w:p>
            <w:r>
              <w:rPr>
                <w:rFonts w:ascii="Arial Narrow" w:hAnsi="Arial Narrow"/>
                <w:b/>
                <w:color w:val="F2B842"/>
                <w:sz w:val="36"/>
              </w:rPr>
              <w:t>C</w:t>
            </w:r>
          </w:p>
          <w:p>
            <w:r>
              <w:rPr>
                <w:rFonts w:ascii="Aptos" w:hAnsi="Aptos"/>
                <w:b/>
                <w:color w:val="142436"/>
                <w:sz w:val="17"/>
              </w:rPr>
              <w:t>REINVESTMENT</w:t>
            </w:r>
          </w:p>
          <w:p>
            <w:r>
              <w:rPr>
                <w:rFonts w:ascii="Aptos" w:hAnsi="Aptos"/>
                <w:b w:val="0"/>
                <w:color w:val="17212B"/>
                <w:sz w:val="16"/>
              </w:rPr>
              <w:t>If it fits the plan, reinvesting dividends keeps more of the asset working. Confirm the setting and understand the tax treatment.</w:t>
            </w:r>
          </w:p>
        </w:tc>
      </w:tr>
    </w:tbl>
    <w:p/>
    <w:p>
      <w:pPr>
        <w:keepNext/>
        <w:spacing w:after="100"/>
      </w:pPr>
      <w:r>
        <w:rPr>
          <w:rFonts w:ascii="Aptos" w:hAnsi="Aptos"/>
          <w:b/>
          <w:color w:val="2E6D8F"/>
          <w:sz w:val="17"/>
        </w:rPr>
        <w:t>MY FIRST REPEATABLE INVESTING WORK ORDER</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ON EVERY PAYDAY / DATE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SEND THIS AMOUNT OR PERCENTAGE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TO THIS ACCOUNT / INVESTMENT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OVERTIME GOES TO OWNERSHIP ONLY AFTER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ayout w:type="fixed"/>
        <w:tblLook w:firstColumn="1" w:firstRow="1" w:lastColumn="0" w:lastRow="0" w:noHBand="0" w:noVBand="1" w:val="04A0"/>
      </w:tblPr>
      <w:tblGrid>
        <w:gridCol w:w="173"/>
        <w:gridCol w:w="9619"/>
      </w:tblGrid>
      <w:tr>
        <w:tc>
          <w:tcPr>
            <w:tcW w:type="dxa" w:w="5083"/>
            <w:tcBorders>
              <w:top w:val="nil"/>
              <w:left w:val="nil"/>
              <w:bottom w:val="nil"/>
              <w:right w:val="nil"/>
            </w:tcBorders>
            <w:shd w:fill="F2B842"/>
            <w:tcMar>
              <w:top w:w="0" w:type="dxa"/>
              <w:start w:w="0" w:type="dxa"/>
              <w:bottom w:w="0" w:type="dxa"/>
              <w:end w:w="0" w:type="dxa"/>
            </w:tcMar>
          </w:tcPr>
          <w:p/>
        </w:tc>
        <w:tc>
          <w:tcPr>
            <w:tcW w:type="dxa" w:w="5083"/>
            <w:tcBorders>
              <w:top w:val="nil"/>
              <w:left w:val="nil"/>
              <w:bottom w:val="nil"/>
              <w:right w:val="nil"/>
            </w:tcBorders>
            <w:shd w:fill="E8EEF1"/>
            <w:tcMar>
              <w:top w:w="145" w:type="dxa"/>
              <w:start w:w="180" w:type="dxa"/>
              <w:bottom w:w="145" w:type="dxa"/>
              <w:end w:w="180" w:type="dxa"/>
            </w:tcMar>
          </w:tcPr>
          <w:p>
            <w:pPr>
              <w:spacing w:after="80"/>
            </w:pPr>
            <w:r>
              <w:rPr>
                <w:rFonts w:ascii="Aptos" w:hAnsi="Aptos"/>
                <w:b/>
                <w:color w:val="142436"/>
                <w:sz w:val="16"/>
              </w:rPr>
              <w:t>CONSISTENCY RULE</w:t>
            </w:r>
          </w:p>
          <w:p>
            <w:pPr>
              <w:spacing w:after="0" w:line="276" w:lineRule="auto"/>
            </w:pPr>
            <w:r>
              <w:rPr>
                <w:rFonts w:ascii="Aptos" w:hAnsi="Aptos"/>
                <w:b w:val="0"/>
                <w:color w:val="17212B"/>
                <w:sz w:val="18"/>
              </w:rPr>
              <w:t>Start smaller than your ego. Repeat longer than your excitement. Increase the amount only after the household proves it can carry the new setting.</w:t>
            </w:r>
          </w:p>
        </w:tc>
      </w:tr>
    </w:tbl>
    <w:p>
      <w:r>
        <w:br w:type="page"/>
      </w:r>
    </w:p>
    <w:tbl>
      <w:tblPr>
        <w:tblW w:type="auto" w:w="0"/>
        <w:jc w:val="left"/>
        <w:tblLayout w:type="fixed"/>
        <w:tblLook w:firstColumn="1" w:firstRow="1" w:lastColumn="0" w:lastRow="0" w:noHBand="0" w:noVBand="1" w:val="04A0"/>
      </w:tblPr>
      <w:tblGrid>
        <w:gridCol w:w="1037"/>
        <w:gridCol w:w="8712"/>
      </w:tblGrid>
      <w:tr>
        <w:tc>
          <w:tcPr>
            <w:tcW w:type="dxa" w:w="5083"/>
            <w:tcBorders>
              <w:top w:val="nil"/>
              <w:left w:val="nil"/>
              <w:bottom w:val="nil"/>
              <w:right w:val="nil"/>
            </w:tcBorders>
            <w:shd w:fill="F2B842"/>
            <w:tcMar>
              <w:top w:w="120" w:type="dxa"/>
              <w:start w:w="60" w:type="dxa"/>
              <w:bottom w:w="120" w:type="dxa"/>
              <w:end w:w="60" w:type="dxa"/>
            </w:tcMar>
            <w:vAlign w:val="center"/>
          </w:tcPr>
          <w:p>
            <w:pPr>
              <w:jc w:val="center"/>
            </w:pPr>
            <w:r>
              <w:rPr>
                <w:rFonts w:ascii="Arial Narrow" w:hAnsi="Arial Narrow"/>
                <w:b/>
                <w:color w:val="142436"/>
                <w:sz w:val="42"/>
              </w:rPr>
              <w:t>08</w:t>
            </w:r>
          </w:p>
        </w:tc>
        <w:tc>
          <w:tcPr>
            <w:tcW w:type="dxa" w:w="5083"/>
            <w:tcBorders>
              <w:top w:val="nil"/>
              <w:left w:val="nil"/>
              <w:bottom w:val="nil"/>
              <w:right w:val="nil"/>
            </w:tcBorders>
            <w:tcMar>
              <w:top w:w="20" w:type="dxa"/>
              <w:start w:w="180" w:type="dxa"/>
              <w:bottom w:w="0" w:type="dxa"/>
              <w:end w:w="0" w:type="dxa"/>
            </w:tcMar>
          </w:tcPr>
          <w:p>
            <w:pPr>
              <w:spacing w:after="80"/>
            </w:pPr>
            <w:r>
              <w:rPr>
                <w:rFonts w:ascii="Aptos" w:hAnsi="Aptos"/>
                <w:b/>
                <w:color w:val="2E6D8F"/>
                <w:sz w:val="16"/>
              </w:rPr>
              <w:t>RISK GATE</w:t>
            </w:r>
          </w:p>
          <w:p>
            <w:pPr>
              <w:spacing w:after="0"/>
            </w:pPr>
            <w:r>
              <w:rPr>
                <w:rFonts w:ascii="Arial Narrow" w:hAnsi="Arial Narrow"/>
                <w:b/>
                <w:caps/>
                <w:color w:val="000000"/>
                <w:sz w:val="51"/>
              </w:rPr>
              <w:t>Know when to call a stop-work.</w:t>
            </w:r>
          </w:p>
        </w:tc>
      </w:tr>
    </w:tbl>
    <w:p>
      <w:pPr>
        <w:spacing w:before="300" w:after="280" w:line="276" w:lineRule="auto"/>
      </w:pPr>
      <w:r>
        <w:rPr>
          <w:rFonts w:ascii="Aptos" w:hAnsi="Aptos"/>
          <w:b w:val="0"/>
          <w:color w:val="5D6871"/>
          <w:sz w:val="23"/>
        </w:rPr>
        <w:t>Pressure, secrecy, complexity, and guaranteed-sounding claims are not signs of an exclusive opportunity. They are reasons to slow down and verify.</w:t>
      </w:r>
    </w:p>
    <w:tbl>
      <w:tblPr>
        <w:tblW w:type="auto" w:w="0"/>
        <w:jc w:val="left"/>
        <w:tblLayout w:type="fixed"/>
        <w:tblLook w:firstColumn="1" w:firstRow="1" w:lastColumn="0" w:lastRow="0" w:noHBand="0" w:noVBand="1" w:val="04A0"/>
      </w:tblPr>
      <w:tblGrid>
        <w:gridCol w:w="346"/>
        <w:gridCol w:w="9432"/>
      </w:tblGrid>
      <w:tr>
        <w:tc>
          <w:tcPr>
            <w:tcW w:type="dxa" w:w="5083"/>
            <w:tcBorders>
              <w:top w:val="nil"/>
              <w:left w:val="nil"/>
              <w:bottom w:val="nil"/>
              <w:right w:val="nil"/>
            </w:tcBorders>
            <w:tcMar>
              <w:top w:w="20" w:type="dxa"/>
              <w:start w:w="0" w:type="dxa"/>
              <w:bottom w:w="15" w:type="dxa"/>
              <w:end w:w="25" w:type="dxa"/>
            </w:tcMar>
          </w:tcPr>
          <w:p>
            <w:r>
              <w:rPr>
                <w:rFonts w:ascii="Aptos" w:hAnsi="Aptos"/>
                <w:b/>
                <w:color w:val="F2B842"/>
                <w:sz w:val="16"/>
              </w:rPr>
              <w:t>×</w:t>
            </w:r>
          </w:p>
        </w:tc>
        <w:tc>
          <w:tcPr>
            <w:tcW w:type="dxa" w:w="5083"/>
            <w:tcBorders>
              <w:top w:val="nil"/>
              <w:left w:val="nil"/>
              <w:bottom w:val="nil"/>
              <w:right w:val="nil"/>
            </w:tcBorders>
            <w:tcMar>
              <w:top w:w="20" w:type="dxa"/>
              <w:start w:w="0" w:type="dxa"/>
              <w:bottom w:w="15" w:type="dxa"/>
              <w:end w:w="0" w:type="dxa"/>
            </w:tcMar>
          </w:tcPr>
          <w:p>
            <w:pPr>
              <w:spacing w:line="269" w:lineRule="auto"/>
            </w:pPr>
            <w:r>
              <w:rPr>
                <w:rFonts w:ascii="Aptos" w:hAnsi="Aptos"/>
                <w:b w:val="0"/>
                <w:color w:val="17212B"/>
                <w:sz w:val="18"/>
              </w:rPr>
              <w:t>“High return” with little or no risk.</w:t>
            </w:r>
          </w:p>
        </w:tc>
      </w:tr>
    </w:tbl>
    <w:tbl>
      <w:tblPr>
        <w:tblW w:type="auto" w:w="0"/>
        <w:jc w:val="left"/>
        <w:tblLayout w:type="fixed"/>
        <w:tblLook w:firstColumn="1" w:firstRow="1" w:lastColumn="0" w:lastRow="0" w:noHBand="0" w:noVBand="1" w:val="04A0"/>
      </w:tblPr>
      <w:tblGrid>
        <w:gridCol w:w="346"/>
        <w:gridCol w:w="9432"/>
      </w:tblGrid>
      <w:tr>
        <w:tc>
          <w:tcPr>
            <w:tcW w:type="dxa" w:w="5083"/>
            <w:tcBorders>
              <w:top w:val="nil"/>
              <w:left w:val="nil"/>
              <w:bottom w:val="nil"/>
              <w:right w:val="nil"/>
            </w:tcBorders>
            <w:tcMar>
              <w:top w:w="20" w:type="dxa"/>
              <w:start w:w="0" w:type="dxa"/>
              <w:bottom w:w="15" w:type="dxa"/>
              <w:end w:w="25" w:type="dxa"/>
            </w:tcMar>
          </w:tcPr>
          <w:p>
            <w:r>
              <w:rPr>
                <w:rFonts w:ascii="Aptos" w:hAnsi="Aptos"/>
                <w:b/>
                <w:color w:val="F2B842"/>
                <w:sz w:val="16"/>
              </w:rPr>
              <w:t>×</w:t>
            </w:r>
          </w:p>
        </w:tc>
        <w:tc>
          <w:tcPr>
            <w:tcW w:type="dxa" w:w="5083"/>
            <w:tcBorders>
              <w:top w:val="nil"/>
              <w:left w:val="nil"/>
              <w:bottom w:val="nil"/>
              <w:right w:val="nil"/>
            </w:tcBorders>
            <w:tcMar>
              <w:top w:w="20" w:type="dxa"/>
              <w:start w:w="0" w:type="dxa"/>
              <w:bottom w:w="15" w:type="dxa"/>
              <w:end w:w="0" w:type="dxa"/>
            </w:tcMar>
          </w:tcPr>
          <w:p>
            <w:pPr>
              <w:spacing w:line="269" w:lineRule="auto"/>
            </w:pPr>
            <w:r>
              <w:rPr>
                <w:rFonts w:ascii="Aptos" w:hAnsi="Aptos"/>
                <w:b w:val="0"/>
                <w:color w:val="17212B"/>
                <w:sz w:val="18"/>
              </w:rPr>
              <w:t>Pressure to act now or miss out.</w:t>
            </w:r>
          </w:p>
        </w:tc>
      </w:tr>
    </w:tbl>
    <w:tbl>
      <w:tblPr>
        <w:tblW w:type="auto" w:w="0"/>
        <w:jc w:val="left"/>
        <w:tblLayout w:type="fixed"/>
        <w:tblLook w:firstColumn="1" w:firstRow="1" w:lastColumn="0" w:lastRow="0" w:noHBand="0" w:noVBand="1" w:val="04A0"/>
      </w:tblPr>
      <w:tblGrid>
        <w:gridCol w:w="346"/>
        <w:gridCol w:w="9432"/>
      </w:tblGrid>
      <w:tr>
        <w:tc>
          <w:tcPr>
            <w:tcW w:type="dxa" w:w="5083"/>
            <w:tcBorders>
              <w:top w:val="nil"/>
              <w:left w:val="nil"/>
              <w:bottom w:val="nil"/>
              <w:right w:val="nil"/>
            </w:tcBorders>
            <w:tcMar>
              <w:top w:w="20" w:type="dxa"/>
              <w:start w:w="0" w:type="dxa"/>
              <w:bottom w:w="15" w:type="dxa"/>
              <w:end w:w="25" w:type="dxa"/>
            </w:tcMar>
          </w:tcPr>
          <w:p>
            <w:r>
              <w:rPr>
                <w:rFonts w:ascii="Aptos" w:hAnsi="Aptos"/>
                <w:b/>
                <w:color w:val="F2B842"/>
                <w:sz w:val="16"/>
              </w:rPr>
              <w:t>×</w:t>
            </w:r>
          </w:p>
        </w:tc>
        <w:tc>
          <w:tcPr>
            <w:tcW w:type="dxa" w:w="5083"/>
            <w:tcBorders>
              <w:top w:val="nil"/>
              <w:left w:val="nil"/>
              <w:bottom w:val="nil"/>
              <w:right w:val="nil"/>
            </w:tcBorders>
            <w:tcMar>
              <w:top w:w="20" w:type="dxa"/>
              <w:start w:w="0" w:type="dxa"/>
              <w:bottom w:w="15" w:type="dxa"/>
              <w:end w:w="0" w:type="dxa"/>
            </w:tcMar>
          </w:tcPr>
          <w:p>
            <w:pPr>
              <w:spacing w:line="269" w:lineRule="auto"/>
            </w:pPr>
            <w:r>
              <w:rPr>
                <w:rFonts w:ascii="Aptos" w:hAnsi="Aptos"/>
                <w:b w:val="0"/>
                <w:color w:val="17212B"/>
                <w:sz w:val="18"/>
              </w:rPr>
              <w:t>Unsolicited messages, fake testimonials, or secret access.</w:t>
            </w:r>
          </w:p>
        </w:tc>
      </w:tr>
    </w:tbl>
    <w:tbl>
      <w:tblPr>
        <w:tblW w:type="auto" w:w="0"/>
        <w:jc w:val="left"/>
        <w:tblLayout w:type="fixed"/>
        <w:tblLook w:firstColumn="1" w:firstRow="1" w:lastColumn="0" w:lastRow="0" w:noHBand="0" w:noVBand="1" w:val="04A0"/>
      </w:tblPr>
      <w:tblGrid>
        <w:gridCol w:w="346"/>
        <w:gridCol w:w="9432"/>
      </w:tblGrid>
      <w:tr>
        <w:tc>
          <w:tcPr>
            <w:tcW w:type="dxa" w:w="5083"/>
            <w:tcBorders>
              <w:top w:val="nil"/>
              <w:left w:val="nil"/>
              <w:bottom w:val="nil"/>
              <w:right w:val="nil"/>
            </w:tcBorders>
            <w:tcMar>
              <w:top w:w="20" w:type="dxa"/>
              <w:start w:w="0" w:type="dxa"/>
              <w:bottom w:w="15" w:type="dxa"/>
              <w:end w:w="25" w:type="dxa"/>
            </w:tcMar>
          </w:tcPr>
          <w:p>
            <w:r>
              <w:rPr>
                <w:rFonts w:ascii="Aptos" w:hAnsi="Aptos"/>
                <w:b/>
                <w:color w:val="F2B842"/>
                <w:sz w:val="16"/>
              </w:rPr>
              <w:t>×</w:t>
            </w:r>
          </w:p>
        </w:tc>
        <w:tc>
          <w:tcPr>
            <w:tcW w:type="dxa" w:w="5083"/>
            <w:tcBorders>
              <w:top w:val="nil"/>
              <w:left w:val="nil"/>
              <w:bottom w:val="nil"/>
              <w:right w:val="nil"/>
            </w:tcBorders>
            <w:tcMar>
              <w:top w:w="20" w:type="dxa"/>
              <w:start w:w="0" w:type="dxa"/>
              <w:bottom w:w="15" w:type="dxa"/>
              <w:end w:w="0" w:type="dxa"/>
            </w:tcMar>
          </w:tcPr>
          <w:p>
            <w:pPr>
              <w:spacing w:line="269" w:lineRule="auto"/>
            </w:pPr>
            <w:r>
              <w:rPr>
                <w:rFonts w:ascii="Aptos" w:hAnsi="Aptos"/>
                <w:b w:val="0"/>
                <w:color w:val="17212B"/>
                <w:sz w:val="18"/>
              </w:rPr>
              <w:t>A person or platform you have not independently checked.</w:t>
            </w:r>
          </w:p>
        </w:tc>
      </w:tr>
    </w:tbl>
    <w:tbl>
      <w:tblPr>
        <w:tblW w:type="auto" w:w="0"/>
        <w:jc w:val="left"/>
        <w:tblLayout w:type="fixed"/>
        <w:tblLook w:firstColumn="1" w:firstRow="1" w:lastColumn="0" w:lastRow="0" w:noHBand="0" w:noVBand="1" w:val="04A0"/>
      </w:tblPr>
      <w:tblGrid>
        <w:gridCol w:w="346"/>
        <w:gridCol w:w="9432"/>
      </w:tblGrid>
      <w:tr>
        <w:tc>
          <w:tcPr>
            <w:tcW w:type="dxa" w:w="5083"/>
            <w:tcBorders>
              <w:top w:val="nil"/>
              <w:left w:val="nil"/>
              <w:bottom w:val="nil"/>
              <w:right w:val="nil"/>
            </w:tcBorders>
            <w:tcMar>
              <w:top w:w="20" w:type="dxa"/>
              <w:start w:w="0" w:type="dxa"/>
              <w:bottom w:w="15" w:type="dxa"/>
              <w:end w:w="25" w:type="dxa"/>
            </w:tcMar>
          </w:tcPr>
          <w:p>
            <w:r>
              <w:rPr>
                <w:rFonts w:ascii="Aptos" w:hAnsi="Aptos"/>
                <w:b/>
                <w:color w:val="F2B842"/>
                <w:sz w:val="16"/>
              </w:rPr>
              <w:t>×</w:t>
            </w:r>
          </w:p>
        </w:tc>
        <w:tc>
          <w:tcPr>
            <w:tcW w:type="dxa" w:w="5083"/>
            <w:tcBorders>
              <w:top w:val="nil"/>
              <w:left w:val="nil"/>
              <w:bottom w:val="nil"/>
              <w:right w:val="nil"/>
            </w:tcBorders>
            <w:tcMar>
              <w:top w:w="20" w:type="dxa"/>
              <w:start w:w="0" w:type="dxa"/>
              <w:bottom w:w="15" w:type="dxa"/>
              <w:end w:w="0" w:type="dxa"/>
            </w:tcMar>
          </w:tcPr>
          <w:p>
            <w:pPr>
              <w:spacing w:line="269" w:lineRule="auto"/>
            </w:pPr>
            <w:r>
              <w:rPr>
                <w:rFonts w:ascii="Aptos" w:hAnsi="Aptos"/>
                <w:b w:val="0"/>
                <w:color w:val="17212B"/>
                <w:sz w:val="18"/>
              </w:rPr>
              <w:t>Borrowing, leverage, options, or concentration you cannot explain.</w:t>
            </w:r>
          </w:p>
        </w:tc>
      </w:tr>
    </w:tbl>
    <w:tbl>
      <w:tblPr>
        <w:tblW w:type="auto" w:w="0"/>
        <w:jc w:val="left"/>
        <w:tblLayout w:type="fixed"/>
        <w:tblLook w:firstColumn="1" w:firstRow="1" w:lastColumn="0" w:lastRow="0" w:noHBand="0" w:noVBand="1" w:val="04A0"/>
      </w:tblPr>
      <w:tblGrid>
        <w:gridCol w:w="346"/>
        <w:gridCol w:w="9432"/>
      </w:tblGrid>
      <w:tr>
        <w:tc>
          <w:tcPr>
            <w:tcW w:type="dxa" w:w="5083"/>
            <w:tcBorders>
              <w:top w:val="nil"/>
              <w:left w:val="nil"/>
              <w:bottom w:val="nil"/>
              <w:right w:val="nil"/>
            </w:tcBorders>
            <w:tcMar>
              <w:top w:w="20" w:type="dxa"/>
              <w:start w:w="0" w:type="dxa"/>
              <w:bottom w:w="15" w:type="dxa"/>
              <w:end w:w="25" w:type="dxa"/>
            </w:tcMar>
          </w:tcPr>
          <w:p>
            <w:r>
              <w:rPr>
                <w:rFonts w:ascii="Aptos" w:hAnsi="Aptos"/>
                <w:b/>
                <w:color w:val="F2B842"/>
                <w:sz w:val="16"/>
              </w:rPr>
              <w:t>×</w:t>
            </w:r>
          </w:p>
        </w:tc>
        <w:tc>
          <w:tcPr>
            <w:tcW w:type="dxa" w:w="5083"/>
            <w:tcBorders>
              <w:top w:val="nil"/>
              <w:left w:val="nil"/>
              <w:bottom w:val="nil"/>
              <w:right w:val="nil"/>
            </w:tcBorders>
            <w:tcMar>
              <w:top w:w="20" w:type="dxa"/>
              <w:start w:w="0" w:type="dxa"/>
              <w:bottom w:w="15" w:type="dxa"/>
              <w:end w:w="0" w:type="dxa"/>
            </w:tcMar>
          </w:tcPr>
          <w:p>
            <w:pPr>
              <w:spacing w:line="269" w:lineRule="auto"/>
            </w:pPr>
            <w:r>
              <w:rPr>
                <w:rFonts w:ascii="Aptos" w:hAnsi="Aptos"/>
                <w:b w:val="0"/>
                <w:color w:val="17212B"/>
                <w:sz w:val="18"/>
              </w:rPr>
              <w:t>An investment you cannot value or exit on terms you understand.</w:t>
            </w:r>
          </w:p>
        </w:tc>
      </w:tr>
    </w:tbl>
    <w:p/>
    <w:tbl>
      <w:tblPr>
        <w:tblW w:type="auto" w:w="0"/>
        <w:jc w:val="left"/>
        <w:tblLayout w:type="fixed"/>
        <w:tblLook w:firstColumn="1" w:firstRow="1" w:lastColumn="0" w:lastRow="0" w:noHBand="0" w:noVBand="1" w:val="04A0"/>
      </w:tblPr>
      <w:tblGrid>
        <w:gridCol w:w="173"/>
        <w:gridCol w:w="9619"/>
      </w:tblGrid>
      <w:tr>
        <w:tc>
          <w:tcPr>
            <w:tcW w:type="dxa" w:w="5083"/>
            <w:tcBorders>
              <w:top w:val="nil"/>
              <w:left w:val="nil"/>
              <w:bottom w:val="nil"/>
              <w:right w:val="nil"/>
            </w:tcBorders>
            <w:shd w:fill="F2B842"/>
            <w:tcMar>
              <w:top w:w="0" w:type="dxa"/>
              <w:start w:w="0" w:type="dxa"/>
              <w:bottom w:w="0" w:type="dxa"/>
              <w:end w:w="0" w:type="dxa"/>
            </w:tcMar>
          </w:tcPr>
          <w:p/>
        </w:tc>
        <w:tc>
          <w:tcPr>
            <w:tcW w:type="dxa" w:w="5083"/>
            <w:tcBorders>
              <w:top w:val="nil"/>
              <w:left w:val="nil"/>
              <w:bottom w:val="nil"/>
              <w:right w:val="nil"/>
            </w:tcBorders>
            <w:shd w:fill="FFF4D9"/>
            <w:tcMar>
              <w:top w:w="145" w:type="dxa"/>
              <w:start w:w="180" w:type="dxa"/>
              <w:bottom w:w="145" w:type="dxa"/>
              <w:end w:w="180" w:type="dxa"/>
            </w:tcMar>
          </w:tcPr>
          <w:p>
            <w:pPr>
              <w:spacing w:after="80"/>
            </w:pPr>
            <w:r>
              <w:rPr>
                <w:rFonts w:ascii="Aptos" w:hAnsi="Aptos"/>
                <w:b/>
                <w:color w:val="142436"/>
                <w:sz w:val="16"/>
              </w:rPr>
              <w:t>STOP-WORK SEQUENCE</w:t>
            </w:r>
          </w:p>
          <w:p>
            <w:pPr>
              <w:spacing w:after="0" w:line="276" w:lineRule="auto"/>
            </w:pPr>
            <w:r>
              <w:rPr>
                <w:rFonts w:ascii="Aptos" w:hAnsi="Aptos"/>
                <w:b w:val="0"/>
                <w:color w:val="17212B"/>
                <w:sz w:val="18"/>
              </w:rPr>
              <w:t>Pause → write the claim → find the official filing or rule → verify the person or firm → ask what happens if the claim is wrong → get qualified help before committing.</w:t>
            </w:r>
          </w:p>
        </w:tc>
      </w:tr>
    </w:tbl>
    <w:p>
      <w:pPr>
        <w:keepNext/>
        <w:spacing w:after="100"/>
      </w:pPr>
      <w:r>
        <w:rPr>
          <w:rFonts w:ascii="Aptos" w:hAnsi="Aptos"/>
          <w:b/>
          <w:color w:val="2E6D8F"/>
          <w:sz w:val="17"/>
        </w:rPr>
        <w:t>VERIFICATION</w:t>
      </w:r>
    </w:p>
    <w:tbl>
      <w:tblPr>
        <w:tblW w:type="auto" w:w="0"/>
        <w:jc w:val="left"/>
        <w:tblLayout w:type="fixed"/>
        <w:tblLook w:firstColumn="1" w:firstRow="1" w:lastColumn="0" w:lastRow="0" w:noHBand="0" w:noVBand="1" w:val="04A0"/>
      </w:tblPr>
      <w:tblGrid>
        <w:gridCol w:w="346"/>
        <w:gridCol w:w="9432"/>
      </w:tblGrid>
      <w:tr>
        <w:tc>
          <w:tcPr>
            <w:tcW w:type="dxa" w:w="5083"/>
            <w:tcBorders>
              <w:top w:val="nil"/>
              <w:left w:val="nil"/>
              <w:bottom w:val="nil"/>
              <w:right w:val="nil"/>
            </w:tcBorders>
            <w:tcMar>
              <w:top w:w="20" w:type="dxa"/>
              <w:start w:w="0" w:type="dxa"/>
              <w:bottom w:w="15" w:type="dxa"/>
              <w:end w:w="25" w:type="dxa"/>
            </w:tcMar>
          </w:tcPr>
          <w:p>
            <w:r>
              <w:rPr>
                <w:rFonts w:ascii="Aptos" w:hAnsi="Aptos"/>
                <w:b/>
                <w:color w:val="F2B842"/>
                <w:sz w:val="16"/>
              </w:rPr>
              <w:t>■</w:t>
            </w:r>
          </w:p>
        </w:tc>
        <w:tc>
          <w:tcPr>
            <w:tcW w:type="dxa" w:w="5083"/>
            <w:tcBorders>
              <w:top w:val="nil"/>
              <w:left w:val="nil"/>
              <w:bottom w:val="nil"/>
              <w:right w:val="nil"/>
            </w:tcBorders>
            <w:tcMar>
              <w:top w:w="20" w:type="dxa"/>
              <w:start w:w="0" w:type="dxa"/>
              <w:bottom w:w="15" w:type="dxa"/>
              <w:end w:w="0" w:type="dxa"/>
            </w:tcMar>
          </w:tcPr>
          <w:p>
            <w:pPr>
              <w:spacing w:line="269" w:lineRule="auto"/>
            </w:pPr>
            <w:r>
              <w:rPr>
                <w:rFonts w:ascii="Aptos" w:hAnsi="Aptos"/>
                <w:b w:val="0"/>
                <w:color w:val="17212B"/>
                <w:sz w:val="18"/>
              </w:rPr>
              <w:t>Use FINRA BrokerCheck to research registered investment professionals and firms.</w:t>
            </w:r>
          </w:p>
        </w:tc>
      </w:tr>
    </w:tbl>
    <w:tbl>
      <w:tblPr>
        <w:tblW w:type="auto" w:w="0"/>
        <w:jc w:val="left"/>
        <w:tblLayout w:type="fixed"/>
        <w:tblLook w:firstColumn="1" w:firstRow="1" w:lastColumn="0" w:lastRow="0" w:noHBand="0" w:noVBand="1" w:val="04A0"/>
      </w:tblPr>
      <w:tblGrid>
        <w:gridCol w:w="346"/>
        <w:gridCol w:w="9432"/>
      </w:tblGrid>
      <w:tr>
        <w:tc>
          <w:tcPr>
            <w:tcW w:type="dxa" w:w="5083"/>
            <w:tcBorders>
              <w:top w:val="nil"/>
              <w:left w:val="nil"/>
              <w:bottom w:val="nil"/>
              <w:right w:val="nil"/>
            </w:tcBorders>
            <w:tcMar>
              <w:top w:w="20" w:type="dxa"/>
              <w:start w:w="0" w:type="dxa"/>
              <w:bottom w:w="15" w:type="dxa"/>
              <w:end w:w="25" w:type="dxa"/>
            </w:tcMar>
          </w:tcPr>
          <w:p>
            <w:r>
              <w:rPr>
                <w:rFonts w:ascii="Aptos" w:hAnsi="Aptos"/>
                <w:b/>
                <w:color w:val="F2B842"/>
                <w:sz w:val="16"/>
              </w:rPr>
              <w:t>■</w:t>
            </w:r>
          </w:p>
        </w:tc>
        <w:tc>
          <w:tcPr>
            <w:tcW w:type="dxa" w:w="5083"/>
            <w:tcBorders>
              <w:top w:val="nil"/>
              <w:left w:val="nil"/>
              <w:bottom w:val="nil"/>
              <w:right w:val="nil"/>
            </w:tcBorders>
            <w:tcMar>
              <w:top w:w="20" w:type="dxa"/>
              <w:start w:w="0" w:type="dxa"/>
              <w:bottom w:w="15" w:type="dxa"/>
              <w:end w:w="0" w:type="dxa"/>
            </w:tcMar>
          </w:tcPr>
          <w:p>
            <w:pPr>
              <w:spacing w:line="269" w:lineRule="auto"/>
            </w:pPr>
            <w:r>
              <w:rPr>
                <w:rFonts w:ascii="Aptos" w:hAnsi="Aptos"/>
                <w:b w:val="0"/>
                <w:color w:val="17212B"/>
                <w:sz w:val="18"/>
              </w:rPr>
              <w:t>Search the exact person, company, product, and regulator separately. Do not use only the link the promoter provides.</w:t>
            </w:r>
          </w:p>
        </w:tc>
      </w:tr>
    </w:tbl>
    <w:tbl>
      <w:tblPr>
        <w:tblW w:type="auto" w:w="0"/>
        <w:jc w:val="left"/>
        <w:tblLayout w:type="fixed"/>
        <w:tblLook w:firstColumn="1" w:firstRow="1" w:lastColumn="0" w:lastRow="0" w:noHBand="0" w:noVBand="1" w:val="04A0"/>
      </w:tblPr>
      <w:tblGrid>
        <w:gridCol w:w="346"/>
        <w:gridCol w:w="9432"/>
      </w:tblGrid>
      <w:tr>
        <w:tc>
          <w:tcPr>
            <w:tcW w:type="dxa" w:w="5083"/>
            <w:tcBorders>
              <w:top w:val="nil"/>
              <w:left w:val="nil"/>
              <w:bottom w:val="nil"/>
              <w:right w:val="nil"/>
            </w:tcBorders>
            <w:tcMar>
              <w:top w:w="20" w:type="dxa"/>
              <w:start w:w="0" w:type="dxa"/>
              <w:bottom w:w="15" w:type="dxa"/>
              <w:end w:w="25" w:type="dxa"/>
            </w:tcMar>
          </w:tcPr>
          <w:p>
            <w:r>
              <w:rPr>
                <w:rFonts w:ascii="Aptos" w:hAnsi="Aptos"/>
                <w:b/>
                <w:color w:val="F2B842"/>
                <w:sz w:val="16"/>
              </w:rPr>
              <w:t>■</w:t>
            </w:r>
          </w:p>
        </w:tc>
        <w:tc>
          <w:tcPr>
            <w:tcW w:type="dxa" w:w="5083"/>
            <w:tcBorders>
              <w:top w:val="nil"/>
              <w:left w:val="nil"/>
              <w:bottom w:val="nil"/>
              <w:right w:val="nil"/>
            </w:tcBorders>
            <w:tcMar>
              <w:top w:w="20" w:type="dxa"/>
              <w:start w:w="0" w:type="dxa"/>
              <w:bottom w:w="15" w:type="dxa"/>
              <w:end w:w="0" w:type="dxa"/>
            </w:tcMar>
          </w:tcPr>
          <w:p>
            <w:pPr>
              <w:spacing w:line="269" w:lineRule="auto"/>
            </w:pPr>
            <w:r>
              <w:rPr>
                <w:rFonts w:ascii="Aptos" w:hAnsi="Aptos"/>
                <w:b w:val="0"/>
                <w:color w:val="17212B"/>
                <w:sz w:val="18"/>
              </w:rPr>
              <w:t>Never let urgency replace understanding.</w:t>
            </w:r>
          </w:p>
        </w:tc>
      </w:tr>
    </w:tbl>
    <w:p>
      <w:pPr>
        <w:spacing w:before="140" w:after="0"/>
      </w:pPr>
      <w:r>
        <w:rPr>
          <w:rFonts w:ascii="Aptos" w:hAnsi="Aptos"/>
          <w:b/>
          <w:color w:val="5D6871"/>
          <w:sz w:val="15"/>
        </w:rPr>
        <w:t xml:space="preserve">OFFICIAL REFERENCE  </w:t>
      </w:r>
      <w:hyperlink r:id="rId16">
        <w:r>
          <w:rPr>
            <w:color w:val="2E6D8F"/>
            <w:u w:val="single"/>
          </w:rPr>
          <w:t>Investor.gov — What You Can Do to Avoid Investment Fraud</w:t>
        </w:r>
      </w:hyperlink>
    </w:p>
    <w:p>
      <w:pPr>
        <w:spacing w:before="140" w:after="0"/>
      </w:pPr>
      <w:r>
        <w:rPr>
          <w:rFonts w:ascii="Aptos" w:hAnsi="Aptos"/>
          <w:b/>
          <w:color w:val="5D6871"/>
          <w:sz w:val="15"/>
        </w:rPr>
        <w:t xml:space="preserve">OFFICIAL REFERENCE  </w:t>
      </w:r>
      <w:hyperlink r:id="rId17">
        <w:r>
          <w:rPr>
            <w:color w:val="2E6D8F"/>
            <w:u w:val="single"/>
          </w:rPr>
          <w:t>FINRA BrokerCheck</w:t>
        </w:r>
      </w:hyperlink>
    </w:p>
    <w:p>
      <w:r>
        <w:br w:type="page"/>
      </w:r>
    </w:p>
    <w:tbl>
      <w:tblPr>
        <w:tblW w:type="auto" w:w="0"/>
        <w:jc w:val="left"/>
        <w:tblLayout w:type="fixed"/>
        <w:tblLook w:firstColumn="1" w:firstRow="1" w:lastColumn="0" w:lastRow="0" w:noHBand="0" w:noVBand="1" w:val="04A0"/>
      </w:tblPr>
      <w:tblGrid>
        <w:gridCol w:w="1037"/>
        <w:gridCol w:w="8712"/>
      </w:tblGrid>
      <w:tr>
        <w:tc>
          <w:tcPr>
            <w:tcW w:type="dxa" w:w="5083"/>
            <w:tcBorders>
              <w:top w:val="nil"/>
              <w:left w:val="nil"/>
              <w:bottom w:val="nil"/>
              <w:right w:val="nil"/>
            </w:tcBorders>
            <w:shd w:fill="F2B842"/>
            <w:tcMar>
              <w:top w:w="120" w:type="dxa"/>
              <w:start w:w="60" w:type="dxa"/>
              <w:bottom w:w="120" w:type="dxa"/>
              <w:end w:w="60" w:type="dxa"/>
            </w:tcMar>
            <w:vAlign w:val="center"/>
          </w:tcPr>
          <w:p>
            <w:pPr>
              <w:jc w:val="center"/>
            </w:pPr>
            <w:r>
              <w:rPr>
                <w:rFonts w:ascii="Arial Narrow" w:hAnsi="Arial Narrow"/>
                <w:b/>
                <w:color w:val="142436"/>
                <w:sz w:val="42"/>
              </w:rPr>
              <w:t>09</w:t>
            </w:r>
          </w:p>
        </w:tc>
        <w:tc>
          <w:tcPr>
            <w:tcW w:type="dxa" w:w="5083"/>
            <w:tcBorders>
              <w:top w:val="nil"/>
              <w:left w:val="nil"/>
              <w:bottom w:val="nil"/>
              <w:right w:val="nil"/>
            </w:tcBorders>
            <w:tcMar>
              <w:top w:w="20" w:type="dxa"/>
              <w:start w:w="180" w:type="dxa"/>
              <w:bottom w:w="0" w:type="dxa"/>
              <w:end w:w="0" w:type="dxa"/>
            </w:tcMar>
          </w:tcPr>
          <w:p>
            <w:pPr>
              <w:spacing w:after="80"/>
            </w:pPr>
            <w:r>
              <w:rPr>
                <w:rFonts w:ascii="Aptos" w:hAnsi="Aptos"/>
                <w:b/>
                <w:color w:val="2E6D8F"/>
                <w:sz w:val="16"/>
              </w:rPr>
              <w:t>FIVE-MINUTE TAILBOARD</w:t>
            </w:r>
          </w:p>
          <w:p>
            <w:pPr>
              <w:spacing w:after="0"/>
            </w:pPr>
            <w:r>
              <w:rPr>
                <w:rFonts w:ascii="Arial Narrow" w:hAnsi="Arial Narrow"/>
                <w:b/>
                <w:caps/>
                <w:color w:val="000000"/>
                <w:sz w:val="51"/>
              </w:rPr>
              <w:t>Review the plan—not the noise.</w:t>
            </w:r>
          </w:p>
        </w:tc>
      </w:tr>
    </w:tbl>
    <w:p>
      <w:pPr>
        <w:spacing w:before="300" w:after="280" w:line="276" w:lineRule="auto"/>
      </w:pPr>
      <w:r>
        <w:rPr>
          <w:rFonts w:ascii="Aptos" w:hAnsi="Aptos"/>
          <w:b w:val="0"/>
          <w:color w:val="5D6871"/>
          <w:sz w:val="23"/>
        </w:rPr>
        <w:t>A calendar review keeps the system aligned without turning every market headline into a family emergency.</w:t>
      </w:r>
    </w:p>
    <w:tbl>
      <w:tblPr>
        <w:tblW w:type="auto" w:w="0"/>
        <w:jc w:val="left"/>
        <w:tblLayout w:type="fixed"/>
        <w:tblLook w:firstColumn="1" w:firstRow="1" w:lastColumn="0" w:lastRow="0" w:noHBand="0" w:noVBand="1" w:val="04A0"/>
      </w:tblPr>
      <w:tblGrid>
        <w:gridCol w:w="5083"/>
        <w:gridCol w:w="5083"/>
      </w:tblGrid>
      <w:tr>
        <w:tc>
          <w:tcPr>
            <w:tcW w:type="dxa" w:w="1584"/>
            <w:shd w:fill="142436"/>
            <w:tcMar>
              <w:top w:w="130" w:type="dxa"/>
              <w:start w:w="100" w:type="dxa"/>
              <w:bottom w:w="130" w:type="dxa"/>
              <w:end w:w="100" w:type="dxa"/>
            </w:tcMar>
            <w:tcBorders>
              <w:top w:val="nil"/>
              <w:left w:val="nil"/>
              <w:bottom w:val="nil"/>
              <w:right w:val="nil"/>
            </w:tcBorders>
          </w:tcPr>
          <w:p>
            <w:r>
              <w:rPr>
                <w:rFonts w:ascii="Aptos" w:hAnsi="Aptos"/>
                <w:b/>
                <w:color w:val="F2B842"/>
                <w:sz w:val="16"/>
              </w:rPr>
              <w:t>MONTHLY</w:t>
            </w:r>
          </w:p>
        </w:tc>
        <w:tc>
          <w:tcPr>
            <w:tcW w:type="dxa" w:w="8136"/>
            <w:shd w:fill="F4F1E9"/>
            <w:tcMar>
              <w:top w:w="130" w:type="dxa"/>
              <w:start w:w="140" w:type="dxa"/>
              <w:bottom w:w="130" w:type="dxa"/>
              <w:end w:w="140" w:type="dxa"/>
            </w:tcMar>
            <w:tcBorders>
              <w:top w:val="nil"/>
              <w:left w:val="nil"/>
              <w:bottom w:val="nil"/>
              <w:right w:val="nil"/>
            </w:tcBorders>
          </w:tcPr>
          <w:p>
            <w:r>
              <w:rPr>
                <w:rFonts w:ascii="Aptos" w:hAnsi="Aptos"/>
                <w:b w:val="0"/>
                <w:color w:val="17212B"/>
                <w:sz w:val="17"/>
              </w:rPr>
              <w:t>Did the contribution happen? Is the household floor still safe? Did any fee, account, or beneficiary detail change?</w:t>
            </w:r>
          </w:p>
        </w:tc>
      </w:tr>
      <w:tr>
        <w:tc>
          <w:tcPr>
            <w:tcW w:type="dxa" w:w="1584"/>
            <w:shd w:fill="142436"/>
            <w:tcMar>
              <w:top w:w="130" w:type="dxa"/>
              <w:start w:w="100" w:type="dxa"/>
              <w:bottom w:w="130" w:type="dxa"/>
              <w:end w:w="100" w:type="dxa"/>
            </w:tcMar>
            <w:tcBorders>
              <w:top w:val="nil"/>
              <w:left w:val="nil"/>
              <w:bottom w:val="nil"/>
              <w:right w:val="nil"/>
            </w:tcBorders>
          </w:tcPr>
          <w:p>
            <w:r>
              <w:rPr>
                <w:rFonts w:ascii="Aptos" w:hAnsi="Aptos"/>
                <w:b/>
                <w:color w:val="F2B842"/>
                <w:sz w:val="16"/>
              </w:rPr>
              <w:t>QUARTERLY</w:t>
            </w:r>
          </w:p>
        </w:tc>
        <w:tc>
          <w:tcPr>
            <w:tcW w:type="dxa" w:w="8136"/>
            <w:shd w:fill="F4F1E9"/>
            <w:tcMar>
              <w:top w:w="130" w:type="dxa"/>
              <w:start w:w="140" w:type="dxa"/>
              <w:bottom w:w="130" w:type="dxa"/>
              <w:end w:w="140" w:type="dxa"/>
            </w:tcMar>
            <w:tcBorders>
              <w:top w:val="nil"/>
              <w:left w:val="nil"/>
              <w:bottom w:val="nil"/>
              <w:right w:val="nil"/>
            </w:tcBorders>
          </w:tcPr>
          <w:p>
            <w:r>
              <w:rPr>
                <w:rFonts w:ascii="Aptos" w:hAnsi="Aptos"/>
                <w:b w:val="0"/>
                <w:color w:val="17212B"/>
                <w:sz w:val="17"/>
              </w:rPr>
              <w:t>Is the asset mix still near the written target? Is any one company or sector becoming too large?</w:t>
            </w:r>
          </w:p>
        </w:tc>
      </w:tr>
      <w:tr>
        <w:tc>
          <w:tcPr>
            <w:tcW w:type="dxa" w:w="1584"/>
            <w:shd w:fill="142436"/>
            <w:tcMar>
              <w:top w:w="130" w:type="dxa"/>
              <w:start w:w="100" w:type="dxa"/>
              <w:bottom w:w="130" w:type="dxa"/>
              <w:end w:w="100" w:type="dxa"/>
            </w:tcMar>
            <w:tcBorders>
              <w:top w:val="nil"/>
              <w:left w:val="nil"/>
              <w:bottom w:val="nil"/>
              <w:right w:val="nil"/>
            </w:tcBorders>
          </w:tcPr>
          <w:p>
            <w:r>
              <w:rPr>
                <w:rFonts w:ascii="Aptos" w:hAnsi="Aptos"/>
                <w:b/>
                <w:color w:val="F2B842"/>
                <w:sz w:val="16"/>
              </w:rPr>
              <w:t>ANNUALLY</w:t>
            </w:r>
          </w:p>
        </w:tc>
        <w:tc>
          <w:tcPr>
            <w:tcW w:type="dxa" w:w="8136"/>
            <w:shd w:fill="F4F1E9"/>
            <w:tcMar>
              <w:top w:w="130" w:type="dxa"/>
              <w:start w:w="140" w:type="dxa"/>
              <w:bottom w:w="130" w:type="dxa"/>
              <w:end w:w="140" w:type="dxa"/>
            </w:tcMar>
            <w:tcBorders>
              <w:top w:val="nil"/>
              <w:left w:val="nil"/>
              <w:bottom w:val="nil"/>
              <w:right w:val="nil"/>
            </w:tcBorders>
          </w:tcPr>
          <w:p>
            <w:r>
              <w:rPr>
                <w:rFonts w:ascii="Aptos" w:hAnsi="Aptos"/>
                <w:b w:val="0"/>
                <w:color w:val="17212B"/>
                <w:sz w:val="17"/>
              </w:rPr>
              <w:t>Do the goal, time horizon, contribution, tax assumptions, beneficiaries, and family instructions still fit?</w:t>
            </w:r>
          </w:p>
        </w:tc>
      </w:tr>
      <w:tr>
        <w:tc>
          <w:tcPr>
            <w:tcW w:type="dxa" w:w="1584"/>
            <w:shd w:fill="142436"/>
            <w:tcMar>
              <w:top w:w="130" w:type="dxa"/>
              <w:start w:w="100" w:type="dxa"/>
              <w:bottom w:w="130" w:type="dxa"/>
              <w:end w:w="100" w:type="dxa"/>
            </w:tcMar>
            <w:tcBorders>
              <w:top w:val="nil"/>
              <w:left w:val="nil"/>
              <w:bottom w:val="nil"/>
              <w:right w:val="nil"/>
            </w:tcBorders>
          </w:tcPr>
          <w:p>
            <w:r>
              <w:rPr>
                <w:rFonts w:ascii="Aptos" w:hAnsi="Aptos"/>
                <w:b/>
                <w:color w:val="F2B842"/>
                <w:sz w:val="16"/>
              </w:rPr>
              <w:t>AFTER A MAJOR CHANGE</w:t>
            </w:r>
          </w:p>
        </w:tc>
        <w:tc>
          <w:tcPr>
            <w:tcW w:type="dxa" w:w="8136"/>
            <w:shd w:fill="F4F1E9"/>
            <w:tcMar>
              <w:top w:w="130" w:type="dxa"/>
              <w:start w:w="140" w:type="dxa"/>
              <w:bottom w:w="130" w:type="dxa"/>
              <w:end w:w="140" w:type="dxa"/>
            </w:tcMar>
            <w:tcBorders>
              <w:top w:val="nil"/>
              <w:left w:val="nil"/>
              <w:bottom w:val="nil"/>
              <w:right w:val="nil"/>
            </w:tcBorders>
          </w:tcPr>
          <w:p>
            <w:r>
              <w:rPr>
                <w:rFonts w:ascii="Aptos" w:hAnsi="Aptos"/>
                <w:b w:val="0"/>
                <w:color w:val="17212B"/>
                <w:sz w:val="17"/>
              </w:rPr>
              <w:t>Revisit the plan after job loss, injury, marriage, divorce, a new child, a move, or a major pay change.</w:t>
            </w:r>
          </w:p>
        </w:tc>
      </w:tr>
    </w:tbl>
    <w:p/>
    <w:p>
      <w:pPr>
        <w:keepNext/>
        <w:spacing w:after="100"/>
      </w:pPr>
      <w:r>
        <w:rPr>
          <w:rFonts w:ascii="Aptos" w:hAnsi="Aptos"/>
          <w:b/>
          <w:color w:val="2E6D8F"/>
          <w:sz w:val="17"/>
        </w:rPr>
        <w:t>WRITE THE NO-PANIC RULE</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WHEN THE MARKET FALLS, WE WILL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WE WILL CHANGE THE PLAN ONLY WHEN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THE PERSON WE WILL CALL FOR QUALIFIED HELP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ayout w:type="fixed"/>
        <w:tblLook w:firstColumn="1" w:firstRow="1" w:lastColumn="0" w:lastRow="0" w:noHBand="0" w:noVBand="1" w:val="04A0"/>
      </w:tblPr>
      <w:tblGrid>
        <w:gridCol w:w="173"/>
        <w:gridCol w:w="9619"/>
      </w:tblGrid>
      <w:tr>
        <w:tc>
          <w:tcPr>
            <w:tcW w:type="dxa" w:w="5083"/>
            <w:tcBorders>
              <w:top w:val="nil"/>
              <w:left w:val="nil"/>
              <w:bottom w:val="nil"/>
              <w:right w:val="nil"/>
            </w:tcBorders>
            <w:shd w:fill="F2B842"/>
            <w:tcMar>
              <w:top w:w="0" w:type="dxa"/>
              <w:start w:w="0" w:type="dxa"/>
              <w:bottom w:w="0" w:type="dxa"/>
              <w:end w:w="0" w:type="dxa"/>
            </w:tcMar>
          </w:tcPr>
          <w:p/>
        </w:tc>
        <w:tc>
          <w:tcPr>
            <w:tcW w:type="dxa" w:w="5083"/>
            <w:tcBorders>
              <w:top w:val="nil"/>
              <w:left w:val="nil"/>
              <w:bottom w:val="nil"/>
              <w:right w:val="nil"/>
            </w:tcBorders>
            <w:shd w:fill="E8EEF1"/>
            <w:tcMar>
              <w:top w:w="145" w:type="dxa"/>
              <w:start w:w="180" w:type="dxa"/>
              <w:bottom w:w="145" w:type="dxa"/>
              <w:end w:w="180" w:type="dxa"/>
            </w:tcMar>
          </w:tcPr>
          <w:p>
            <w:pPr>
              <w:spacing w:after="80"/>
            </w:pPr>
            <w:r>
              <w:rPr>
                <w:rFonts w:ascii="Aptos" w:hAnsi="Aptos"/>
                <w:b/>
                <w:color w:val="142436"/>
                <w:sz w:val="16"/>
              </w:rPr>
              <w:t>REVIEW RULE</w:t>
            </w:r>
          </w:p>
          <w:p>
            <w:pPr>
              <w:spacing w:after="0" w:line="276" w:lineRule="auto"/>
            </w:pPr>
            <w:r>
              <w:rPr>
                <w:rFonts w:ascii="Aptos" w:hAnsi="Aptos"/>
                <w:b w:val="0"/>
                <w:color w:val="17212B"/>
                <w:sz w:val="18"/>
              </w:rPr>
              <w:t>Rebalancing and portfolio changes can create taxes, fees, or other consequences. Confirm the account rules before acting.</w:t>
            </w:r>
          </w:p>
        </w:tc>
      </w:tr>
    </w:tbl>
    <w:p>
      <w:r>
        <w:br w:type="page"/>
      </w:r>
    </w:p>
    <w:tbl>
      <w:tblPr>
        <w:tblW w:type="auto" w:w="0"/>
        <w:jc w:val="left"/>
        <w:tblLayout w:type="fixed"/>
        <w:tblLook w:firstColumn="1" w:firstRow="1" w:lastColumn="0" w:lastRow="0" w:noHBand="0" w:noVBand="1" w:val="04A0"/>
      </w:tblPr>
      <w:tblGrid>
        <w:gridCol w:w="1037"/>
        <w:gridCol w:w="8712"/>
      </w:tblGrid>
      <w:tr>
        <w:tc>
          <w:tcPr>
            <w:tcW w:type="dxa" w:w="5083"/>
            <w:tcBorders>
              <w:top w:val="nil"/>
              <w:left w:val="nil"/>
              <w:bottom w:val="nil"/>
              <w:right w:val="nil"/>
            </w:tcBorders>
            <w:shd w:fill="F2B842"/>
            <w:tcMar>
              <w:top w:w="120" w:type="dxa"/>
              <w:start w:w="60" w:type="dxa"/>
              <w:bottom w:w="120" w:type="dxa"/>
              <w:end w:w="60" w:type="dxa"/>
            </w:tcMar>
            <w:vAlign w:val="center"/>
          </w:tcPr>
          <w:p>
            <w:pPr>
              <w:jc w:val="center"/>
            </w:pPr>
            <w:r>
              <w:rPr>
                <w:rFonts w:ascii="Arial Narrow" w:hAnsi="Arial Narrow"/>
                <w:b/>
                <w:color w:val="142436"/>
                <w:sz w:val="42"/>
              </w:rPr>
              <w:t>10</w:t>
            </w:r>
          </w:p>
        </w:tc>
        <w:tc>
          <w:tcPr>
            <w:tcW w:type="dxa" w:w="5083"/>
            <w:tcBorders>
              <w:top w:val="nil"/>
              <w:left w:val="nil"/>
              <w:bottom w:val="nil"/>
              <w:right w:val="nil"/>
            </w:tcBorders>
            <w:tcMar>
              <w:top w:w="20" w:type="dxa"/>
              <w:start w:w="180" w:type="dxa"/>
              <w:bottom w:w="0" w:type="dxa"/>
              <w:end w:w="0" w:type="dxa"/>
            </w:tcMar>
          </w:tcPr>
          <w:p>
            <w:pPr>
              <w:spacing w:after="80"/>
            </w:pPr>
            <w:r>
              <w:rPr>
                <w:rFonts w:ascii="Aptos" w:hAnsi="Aptos"/>
                <w:b/>
                <w:color w:val="2E6D8F"/>
                <w:sz w:val="16"/>
              </w:rPr>
              <w:t>FAMILY CONTINUITY</w:t>
            </w:r>
          </w:p>
          <w:p>
            <w:pPr>
              <w:spacing w:after="0"/>
            </w:pPr>
            <w:r>
              <w:rPr>
                <w:rFonts w:ascii="Arial Narrow" w:hAnsi="Arial Narrow"/>
                <w:b/>
                <w:caps/>
                <w:color w:val="000000"/>
                <w:sz w:val="51"/>
              </w:rPr>
              <w:t>Wealth is stronger when it does not live in one person’s head.</w:t>
            </w:r>
          </w:p>
        </w:tc>
      </w:tr>
    </w:tbl>
    <w:p>
      <w:pPr>
        <w:spacing w:before="300" w:after="280" w:line="276" w:lineRule="auto"/>
      </w:pPr>
      <w:r>
        <w:rPr>
          <w:rFonts w:ascii="Aptos" w:hAnsi="Aptos"/>
          <w:b w:val="0"/>
          <w:color w:val="5D6871"/>
          <w:sz w:val="23"/>
        </w:rPr>
        <w:t>Hold a short monthly wealth talk. Keep the language plain enough that a partner or older child can explain the mission back to you.</w:t>
      </w:r>
    </w:p>
    <w:tbl>
      <w:tblPr>
        <w:tblW w:type="auto" w:w="0"/>
        <w:jc w:val="left"/>
        <w:tblLayout w:type="fixed"/>
        <w:tblLook w:firstColumn="1" w:firstRow="1" w:lastColumn="0" w:lastRow="0" w:noHBand="0" w:noVBand="1" w:val="04A0"/>
      </w:tblPr>
      <w:tblGrid>
        <w:gridCol w:w="5083"/>
        <w:gridCol w:w="5083"/>
      </w:tblGrid>
      <w:tr>
        <w:tc>
          <w:tcPr>
            <w:tcW w:type="dxa" w:w="864"/>
            <w:shd w:fill="F2B842"/>
            <w:tcMar>
              <w:top w:w="100" w:type="dxa"/>
              <w:start w:w="80" w:type="dxa"/>
              <w:bottom w:w="100" w:type="dxa"/>
              <w:end w:w="80" w:type="dxa"/>
            </w:tcMar>
            <w:tcBorders>
              <w:top w:val="nil"/>
              <w:left w:val="nil"/>
              <w:bottom w:val="nil"/>
              <w:right w:val="nil"/>
            </w:tcBorders>
          </w:tcPr>
          <w:p>
            <w:pPr>
              <w:jc w:val="center"/>
            </w:pPr>
            <w:r>
              <w:rPr>
                <w:rFonts w:ascii="Aptos" w:hAnsi="Aptos"/>
                <w:b/>
                <w:color w:val="142436"/>
                <w:sz w:val="18"/>
              </w:rPr>
              <w:t>01</w:t>
            </w:r>
          </w:p>
        </w:tc>
        <w:tc>
          <w:tcPr>
            <w:tcW w:type="dxa" w:w="8856"/>
            <w:shd w:fill="F4F1E9"/>
            <w:tcMar>
              <w:top w:w="100" w:type="dxa"/>
              <w:start w:w="135" w:type="dxa"/>
              <w:bottom w:w="100" w:type="dxa"/>
              <w:end w:w="135" w:type="dxa"/>
            </w:tcMar>
            <w:tcBorders>
              <w:top w:val="nil"/>
              <w:left w:val="nil"/>
              <w:bottom w:val="nil"/>
              <w:right w:val="nil"/>
            </w:tcBorders>
          </w:tcPr>
          <w:p>
            <w:r>
              <w:rPr>
                <w:rFonts w:ascii="Aptos" w:hAnsi="Aptos"/>
                <w:b/>
                <w:color w:val="142436"/>
                <w:sz w:val="18"/>
              </w:rPr>
              <w:t>What are we building this money to do?</w:t>
            </w:r>
          </w:p>
        </w:tc>
      </w:tr>
    </w:tbl>
    <w:tbl>
      <w:tblPr>
        <w:tblW w:type="auto" w:w="0"/>
        <w:jc w:val="left"/>
        <w:tblLayout w:type="fixed"/>
        <w:tblLook w:firstColumn="1" w:firstRow="1" w:lastColumn="0" w:lastRow="0" w:noHBand="0" w:noVBand="1" w:val="04A0"/>
      </w:tblPr>
      <w:tblGrid>
        <w:gridCol w:w="5083"/>
        <w:gridCol w:w="5083"/>
      </w:tblGrid>
      <w:tr>
        <w:tc>
          <w:tcPr>
            <w:tcW w:type="dxa" w:w="864"/>
            <w:shd w:fill="F2B842"/>
            <w:tcMar>
              <w:top w:w="100" w:type="dxa"/>
              <w:start w:w="80" w:type="dxa"/>
              <w:bottom w:w="100" w:type="dxa"/>
              <w:end w:w="80" w:type="dxa"/>
            </w:tcMar>
            <w:tcBorders>
              <w:top w:val="nil"/>
              <w:left w:val="nil"/>
              <w:bottom w:val="nil"/>
              <w:right w:val="nil"/>
            </w:tcBorders>
          </w:tcPr>
          <w:p>
            <w:pPr>
              <w:jc w:val="center"/>
            </w:pPr>
            <w:r>
              <w:rPr>
                <w:rFonts w:ascii="Aptos" w:hAnsi="Aptos"/>
                <w:b/>
                <w:color w:val="142436"/>
                <w:sz w:val="18"/>
              </w:rPr>
              <w:t>02</w:t>
            </w:r>
          </w:p>
        </w:tc>
        <w:tc>
          <w:tcPr>
            <w:tcW w:type="dxa" w:w="8856"/>
            <w:shd w:fill="F4F1E9"/>
            <w:tcMar>
              <w:top w:w="100" w:type="dxa"/>
              <w:start w:w="135" w:type="dxa"/>
              <w:bottom w:w="100" w:type="dxa"/>
              <w:end w:w="135" w:type="dxa"/>
            </w:tcMar>
            <w:tcBorders>
              <w:top w:val="nil"/>
              <w:left w:val="nil"/>
              <w:bottom w:val="nil"/>
              <w:right w:val="nil"/>
            </w:tcBorders>
          </w:tcPr>
          <w:p>
            <w:r>
              <w:rPr>
                <w:rFonts w:ascii="Aptos" w:hAnsi="Aptos"/>
                <w:b/>
                <w:color w:val="142436"/>
                <w:sz w:val="18"/>
              </w:rPr>
              <w:t>Are the household floor and buffer still protected?</w:t>
            </w:r>
          </w:p>
        </w:tc>
      </w:tr>
    </w:tbl>
    <w:tbl>
      <w:tblPr>
        <w:tblW w:type="auto" w:w="0"/>
        <w:jc w:val="left"/>
        <w:tblLayout w:type="fixed"/>
        <w:tblLook w:firstColumn="1" w:firstRow="1" w:lastColumn="0" w:lastRow="0" w:noHBand="0" w:noVBand="1" w:val="04A0"/>
      </w:tblPr>
      <w:tblGrid>
        <w:gridCol w:w="5083"/>
        <w:gridCol w:w="5083"/>
      </w:tblGrid>
      <w:tr>
        <w:tc>
          <w:tcPr>
            <w:tcW w:type="dxa" w:w="864"/>
            <w:shd w:fill="F2B842"/>
            <w:tcMar>
              <w:top w:w="100" w:type="dxa"/>
              <w:start w:w="80" w:type="dxa"/>
              <w:bottom w:w="100" w:type="dxa"/>
              <w:end w:w="80" w:type="dxa"/>
            </w:tcMar>
            <w:tcBorders>
              <w:top w:val="nil"/>
              <w:left w:val="nil"/>
              <w:bottom w:val="nil"/>
              <w:right w:val="nil"/>
            </w:tcBorders>
          </w:tcPr>
          <w:p>
            <w:pPr>
              <w:jc w:val="center"/>
            </w:pPr>
            <w:r>
              <w:rPr>
                <w:rFonts w:ascii="Aptos" w:hAnsi="Aptos"/>
                <w:b/>
                <w:color w:val="142436"/>
                <w:sz w:val="18"/>
              </w:rPr>
              <w:t>03</w:t>
            </w:r>
          </w:p>
        </w:tc>
        <w:tc>
          <w:tcPr>
            <w:tcW w:type="dxa" w:w="8856"/>
            <w:shd w:fill="F4F1E9"/>
            <w:tcMar>
              <w:top w:w="100" w:type="dxa"/>
              <w:start w:w="135" w:type="dxa"/>
              <w:bottom w:w="100" w:type="dxa"/>
              <w:end w:w="135" w:type="dxa"/>
            </w:tcMar>
            <w:tcBorders>
              <w:top w:val="nil"/>
              <w:left w:val="nil"/>
              <w:bottom w:val="nil"/>
              <w:right w:val="nil"/>
            </w:tcBorders>
          </w:tcPr>
          <w:p>
            <w:r>
              <w:rPr>
                <w:rFonts w:ascii="Aptos" w:hAnsi="Aptos"/>
                <w:b/>
                <w:color w:val="142436"/>
                <w:sz w:val="18"/>
              </w:rPr>
              <w:t>Did contributions happen as written?</w:t>
            </w:r>
          </w:p>
        </w:tc>
      </w:tr>
    </w:tbl>
    <w:tbl>
      <w:tblPr>
        <w:tblW w:type="auto" w:w="0"/>
        <w:jc w:val="left"/>
        <w:tblLayout w:type="fixed"/>
        <w:tblLook w:firstColumn="1" w:firstRow="1" w:lastColumn="0" w:lastRow="0" w:noHBand="0" w:noVBand="1" w:val="04A0"/>
      </w:tblPr>
      <w:tblGrid>
        <w:gridCol w:w="5083"/>
        <w:gridCol w:w="5083"/>
      </w:tblGrid>
      <w:tr>
        <w:tc>
          <w:tcPr>
            <w:tcW w:type="dxa" w:w="864"/>
            <w:shd w:fill="F2B842"/>
            <w:tcMar>
              <w:top w:w="100" w:type="dxa"/>
              <w:start w:w="80" w:type="dxa"/>
              <w:bottom w:w="100" w:type="dxa"/>
              <w:end w:w="80" w:type="dxa"/>
            </w:tcMar>
            <w:tcBorders>
              <w:top w:val="nil"/>
              <w:left w:val="nil"/>
              <w:bottom w:val="nil"/>
              <w:right w:val="nil"/>
            </w:tcBorders>
          </w:tcPr>
          <w:p>
            <w:pPr>
              <w:jc w:val="center"/>
            </w:pPr>
            <w:r>
              <w:rPr>
                <w:rFonts w:ascii="Aptos" w:hAnsi="Aptos"/>
                <w:b/>
                <w:color w:val="142436"/>
                <w:sz w:val="18"/>
              </w:rPr>
              <w:t>04</w:t>
            </w:r>
          </w:p>
        </w:tc>
        <w:tc>
          <w:tcPr>
            <w:tcW w:type="dxa" w:w="8856"/>
            <w:shd w:fill="F4F1E9"/>
            <w:tcMar>
              <w:top w:w="100" w:type="dxa"/>
              <w:start w:w="135" w:type="dxa"/>
              <w:bottom w:w="100" w:type="dxa"/>
              <w:end w:w="135" w:type="dxa"/>
            </w:tcMar>
            <w:tcBorders>
              <w:top w:val="nil"/>
              <w:left w:val="nil"/>
              <w:bottom w:val="nil"/>
              <w:right w:val="nil"/>
            </w:tcBorders>
          </w:tcPr>
          <w:p>
            <w:r>
              <w:rPr>
                <w:rFonts w:ascii="Aptos" w:hAnsi="Aptos"/>
                <w:b/>
                <w:color w:val="142436"/>
                <w:sz w:val="18"/>
              </w:rPr>
              <w:t>Did fees, allocation, beneficiaries, or contact details change?</w:t>
            </w:r>
          </w:p>
        </w:tc>
      </w:tr>
    </w:tbl>
    <w:tbl>
      <w:tblPr>
        <w:tblW w:type="auto" w:w="0"/>
        <w:jc w:val="left"/>
        <w:tblLayout w:type="fixed"/>
        <w:tblLook w:firstColumn="1" w:firstRow="1" w:lastColumn="0" w:lastRow="0" w:noHBand="0" w:noVBand="1" w:val="04A0"/>
      </w:tblPr>
      <w:tblGrid>
        <w:gridCol w:w="5083"/>
        <w:gridCol w:w="5083"/>
      </w:tblGrid>
      <w:tr>
        <w:tc>
          <w:tcPr>
            <w:tcW w:type="dxa" w:w="864"/>
            <w:shd w:fill="F2B842"/>
            <w:tcMar>
              <w:top w:w="100" w:type="dxa"/>
              <w:start w:w="80" w:type="dxa"/>
              <w:bottom w:w="100" w:type="dxa"/>
              <w:end w:w="80" w:type="dxa"/>
            </w:tcMar>
            <w:tcBorders>
              <w:top w:val="nil"/>
              <w:left w:val="nil"/>
              <w:bottom w:val="nil"/>
              <w:right w:val="nil"/>
            </w:tcBorders>
          </w:tcPr>
          <w:p>
            <w:pPr>
              <w:jc w:val="center"/>
            </w:pPr>
            <w:r>
              <w:rPr>
                <w:rFonts w:ascii="Aptos" w:hAnsi="Aptos"/>
                <w:b/>
                <w:color w:val="142436"/>
                <w:sz w:val="18"/>
              </w:rPr>
              <w:t>05</w:t>
            </w:r>
          </w:p>
        </w:tc>
        <w:tc>
          <w:tcPr>
            <w:tcW w:type="dxa" w:w="8856"/>
            <w:shd w:fill="F4F1E9"/>
            <w:tcMar>
              <w:top w:w="100" w:type="dxa"/>
              <w:start w:w="135" w:type="dxa"/>
              <w:bottom w:w="100" w:type="dxa"/>
              <w:end w:w="135" w:type="dxa"/>
            </w:tcMar>
            <w:tcBorders>
              <w:top w:val="nil"/>
              <w:left w:val="nil"/>
              <w:bottom w:val="nil"/>
              <w:right w:val="nil"/>
            </w:tcBorders>
          </w:tcPr>
          <w:p>
            <w:r>
              <w:rPr>
                <w:rFonts w:ascii="Aptos" w:hAnsi="Aptos"/>
                <w:b/>
                <w:color w:val="142436"/>
                <w:sz w:val="18"/>
              </w:rPr>
              <w:t>Can another person locate the accounts and instructions?</w:t>
            </w:r>
          </w:p>
        </w:tc>
      </w:tr>
    </w:tbl>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OUR FAMILY MONEY MISSION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WHERE ACCOUNT DETAILS / CONTACTS ARE KEPT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WHO CAN STEP IN IF I CANNOT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ayout w:type="fixed"/>
        <w:tblLook w:firstColumn="1" w:firstRow="1" w:lastColumn="0" w:lastRow="0" w:noHBand="0" w:noVBand="1" w:val="04A0"/>
      </w:tblPr>
      <w:tblGrid>
        <w:gridCol w:w="173"/>
        <w:gridCol w:w="9619"/>
      </w:tblGrid>
      <w:tr>
        <w:tc>
          <w:tcPr>
            <w:tcW w:type="dxa" w:w="5083"/>
            <w:tcBorders>
              <w:top w:val="nil"/>
              <w:left w:val="nil"/>
              <w:bottom w:val="nil"/>
              <w:right w:val="nil"/>
            </w:tcBorders>
            <w:shd w:fill="F2B842"/>
            <w:tcMar>
              <w:top w:w="0" w:type="dxa"/>
              <w:start w:w="0" w:type="dxa"/>
              <w:bottom w:w="0" w:type="dxa"/>
              <w:end w:w="0" w:type="dxa"/>
            </w:tcMar>
          </w:tcPr>
          <w:p/>
        </w:tc>
        <w:tc>
          <w:tcPr>
            <w:tcW w:type="dxa" w:w="5083"/>
            <w:tcBorders>
              <w:top w:val="nil"/>
              <w:left w:val="nil"/>
              <w:bottom w:val="nil"/>
              <w:right w:val="nil"/>
            </w:tcBorders>
            <w:shd w:fill="E8EEF1"/>
            <w:tcMar>
              <w:top w:w="145" w:type="dxa"/>
              <w:start w:w="180" w:type="dxa"/>
              <w:bottom w:w="145" w:type="dxa"/>
              <w:end w:w="180" w:type="dxa"/>
            </w:tcMar>
          </w:tcPr>
          <w:p>
            <w:pPr>
              <w:spacing w:after="80"/>
            </w:pPr>
            <w:r>
              <w:rPr>
                <w:rFonts w:ascii="Aptos" w:hAnsi="Aptos"/>
                <w:b/>
                <w:color w:val="142436"/>
                <w:sz w:val="16"/>
              </w:rPr>
              <w:t>LEGACY IS AN OPERATING SYSTEM</w:t>
            </w:r>
          </w:p>
          <w:p>
            <w:pPr>
              <w:spacing w:after="0" w:line="276" w:lineRule="auto"/>
            </w:pPr>
            <w:r>
              <w:rPr>
                <w:rFonts w:ascii="Aptos" w:hAnsi="Aptos"/>
                <w:b w:val="0"/>
                <w:color w:val="17212B"/>
                <w:sz w:val="18"/>
              </w:rPr>
              <w:t>A shared mission, clear roles, documented decisions, current beneficiaries, and professional help where needed. The goal is continuity, not secrecy.</w:t>
            </w:r>
          </w:p>
        </w:tc>
      </w:tr>
    </w:tbl>
    <w:p>
      <w:r>
        <w:br w:type="page"/>
      </w:r>
    </w:p>
    <w:tbl>
      <w:tblPr>
        <w:tblW w:type="auto" w:w="0"/>
        <w:jc w:val="left"/>
        <w:tblLayout w:type="fixed"/>
        <w:tblLook w:firstColumn="1" w:firstRow="1" w:lastColumn="0" w:lastRow="0" w:noHBand="0" w:noVBand="1" w:val="04A0"/>
      </w:tblPr>
      <w:tblGrid>
        <w:gridCol w:w="1037"/>
        <w:gridCol w:w="8712"/>
      </w:tblGrid>
      <w:tr>
        <w:tc>
          <w:tcPr>
            <w:tcW w:type="dxa" w:w="5083"/>
            <w:tcBorders>
              <w:top w:val="nil"/>
              <w:left w:val="nil"/>
              <w:bottom w:val="nil"/>
              <w:right w:val="nil"/>
            </w:tcBorders>
            <w:shd w:fill="F2B842"/>
            <w:tcMar>
              <w:top w:w="120" w:type="dxa"/>
              <w:start w:w="60" w:type="dxa"/>
              <w:bottom w:w="120" w:type="dxa"/>
              <w:end w:w="60" w:type="dxa"/>
            </w:tcMar>
            <w:vAlign w:val="center"/>
          </w:tcPr>
          <w:p>
            <w:pPr>
              <w:jc w:val="center"/>
            </w:pPr>
            <w:r>
              <w:rPr>
                <w:rFonts w:ascii="Arial Narrow" w:hAnsi="Arial Narrow"/>
                <w:b/>
                <w:color w:val="142436"/>
                <w:sz w:val="42"/>
              </w:rPr>
              <w:t>30</w:t>
            </w:r>
          </w:p>
        </w:tc>
        <w:tc>
          <w:tcPr>
            <w:tcW w:type="dxa" w:w="5083"/>
            <w:tcBorders>
              <w:top w:val="nil"/>
              <w:left w:val="nil"/>
              <w:bottom w:val="nil"/>
              <w:right w:val="nil"/>
            </w:tcBorders>
            <w:tcMar>
              <w:top w:w="20" w:type="dxa"/>
              <w:start w:w="180" w:type="dxa"/>
              <w:bottom w:w="0" w:type="dxa"/>
              <w:end w:w="0" w:type="dxa"/>
            </w:tcMar>
          </w:tcPr>
          <w:p>
            <w:pPr>
              <w:spacing w:after="80"/>
            </w:pPr>
            <w:r>
              <w:rPr>
                <w:rFonts w:ascii="Aptos" w:hAnsi="Aptos"/>
                <w:b/>
                <w:color w:val="2E6D8F"/>
                <w:sz w:val="16"/>
              </w:rPr>
              <w:t>YOUR FIRST 30 DAYS</w:t>
            </w:r>
          </w:p>
          <w:p>
            <w:pPr>
              <w:spacing w:after="0"/>
            </w:pPr>
            <w:r>
              <w:rPr>
                <w:rFonts w:ascii="Arial Narrow" w:hAnsi="Arial Narrow"/>
                <w:b/>
                <w:caps/>
                <w:color w:val="000000"/>
                <w:sz w:val="51"/>
              </w:rPr>
              <w:t>One layer. One work order. One repeatable move.</w:t>
            </w:r>
          </w:p>
        </w:tc>
      </w:tr>
    </w:tbl>
    <w:p>
      <w:pPr>
        <w:spacing w:before="300" w:after="280" w:line="276" w:lineRule="auto"/>
      </w:pPr>
      <w:r>
        <w:rPr>
          <w:rFonts w:ascii="Aptos" w:hAnsi="Aptos"/>
          <w:b w:val="0"/>
          <w:color w:val="5D6871"/>
          <w:sz w:val="23"/>
        </w:rPr>
        <w:t>The win is not opening the most complicated account. The win is installing a process the family can understand and keep.</w:t>
      </w:r>
    </w:p>
    <w:tbl>
      <w:tblPr>
        <w:tblW w:type="auto" w:w="0"/>
        <w:jc w:val="left"/>
        <w:tblLayout w:type="fixed"/>
        <w:tblLook w:firstColumn="1" w:firstRow="1" w:lastColumn="0" w:lastRow="0" w:noHBand="0" w:noVBand="1" w:val="04A0"/>
      </w:tblPr>
      <w:tblGrid>
        <w:gridCol w:w="3389"/>
        <w:gridCol w:w="3389"/>
        <w:gridCol w:w="3389"/>
      </w:tblGrid>
      <w:tr>
        <w:tc>
          <w:tcPr>
            <w:tcW w:type="dxa" w:w="1440"/>
            <w:shd w:fill="142436"/>
            <w:tcMar>
              <w:top w:w="130" w:type="dxa"/>
              <w:start w:w="110" w:type="dxa"/>
              <w:bottom w:w="130" w:type="dxa"/>
              <w:end w:w="110" w:type="dxa"/>
            </w:tcMar>
            <w:tcBorders>
              <w:top w:val="nil"/>
              <w:left w:val="nil"/>
              <w:bottom w:val="nil"/>
              <w:right w:val="nil"/>
            </w:tcBorders>
          </w:tcPr>
          <w:p>
            <w:r>
              <w:rPr>
                <w:rFonts w:ascii="Aptos" w:hAnsi="Aptos"/>
                <w:b/>
                <w:color w:val="FFFFFF"/>
                <w:sz w:val="16"/>
              </w:rPr>
              <w:t>WEEK 1</w:t>
            </w:r>
          </w:p>
        </w:tc>
        <w:tc>
          <w:tcPr>
            <w:tcW w:type="dxa" w:w="1440"/>
            <w:shd w:fill="F2B842"/>
            <w:tcMar>
              <w:top w:w="130" w:type="dxa"/>
              <w:start w:w="110" w:type="dxa"/>
              <w:bottom w:w="130" w:type="dxa"/>
              <w:end w:w="110" w:type="dxa"/>
            </w:tcMar>
            <w:tcBorders>
              <w:top w:val="nil"/>
              <w:left w:val="nil"/>
              <w:bottom w:val="nil"/>
              <w:right w:val="nil"/>
            </w:tcBorders>
          </w:tcPr>
          <w:p>
            <w:r>
              <w:rPr>
                <w:rFonts w:ascii="Aptos" w:hAnsi="Aptos"/>
                <w:b/>
                <w:color w:val="142436"/>
                <w:sz w:val="16"/>
              </w:rPr>
              <w:t>PROTECT</w:t>
            </w:r>
          </w:p>
        </w:tc>
        <w:tc>
          <w:tcPr>
            <w:tcW w:type="dxa" w:w="6840"/>
            <w:shd w:fill="F4F1E9"/>
            <w:tcMar>
              <w:top w:w="130" w:type="dxa"/>
              <w:start w:w="110" w:type="dxa"/>
              <w:bottom w:w="130" w:type="dxa"/>
              <w:end w:w="110" w:type="dxa"/>
            </w:tcMar>
            <w:tcBorders>
              <w:top w:val="nil"/>
              <w:left w:val="nil"/>
              <w:bottom w:val="nil"/>
              <w:right w:val="nil"/>
            </w:tcBorders>
          </w:tcPr>
          <w:p>
            <w:r>
              <w:rPr>
                <w:rFonts w:ascii="Aptos" w:hAnsi="Aptos"/>
                <w:b w:val="0"/>
                <w:color w:val="17212B"/>
                <w:sz w:val="17"/>
              </w:rPr>
              <w:t>Complete the household floor and readiness gate. Choose the one foundation layer that needs repair.</w:t>
            </w:r>
          </w:p>
        </w:tc>
      </w:tr>
      <w:tr>
        <w:tc>
          <w:tcPr>
            <w:tcW w:type="dxa" w:w="1440"/>
            <w:shd w:fill="142436"/>
            <w:tcMar>
              <w:top w:w="130" w:type="dxa"/>
              <w:start w:w="110" w:type="dxa"/>
              <w:bottom w:w="130" w:type="dxa"/>
              <w:end w:w="110" w:type="dxa"/>
            </w:tcMar>
            <w:tcBorders>
              <w:top w:val="nil"/>
              <w:left w:val="nil"/>
              <w:bottom w:val="nil"/>
              <w:right w:val="nil"/>
            </w:tcBorders>
          </w:tcPr>
          <w:p>
            <w:r>
              <w:rPr>
                <w:rFonts w:ascii="Aptos" w:hAnsi="Aptos"/>
                <w:b/>
                <w:color w:val="FFFFFF"/>
                <w:sz w:val="16"/>
              </w:rPr>
              <w:t>WEEK 2</w:t>
            </w:r>
          </w:p>
        </w:tc>
        <w:tc>
          <w:tcPr>
            <w:tcW w:type="dxa" w:w="1440"/>
            <w:shd w:fill="F2B842"/>
            <w:tcMar>
              <w:top w:w="130" w:type="dxa"/>
              <w:start w:w="110" w:type="dxa"/>
              <w:bottom w:w="130" w:type="dxa"/>
              <w:end w:w="110" w:type="dxa"/>
            </w:tcMar>
            <w:tcBorders>
              <w:top w:val="nil"/>
              <w:left w:val="nil"/>
              <w:bottom w:val="nil"/>
              <w:right w:val="nil"/>
            </w:tcBorders>
          </w:tcPr>
          <w:p>
            <w:r>
              <w:rPr>
                <w:rFonts w:ascii="Aptos" w:hAnsi="Aptos"/>
                <w:b/>
                <w:color w:val="142436"/>
                <w:sz w:val="16"/>
              </w:rPr>
              <w:t>DEFINE</w:t>
            </w:r>
          </w:p>
        </w:tc>
        <w:tc>
          <w:tcPr>
            <w:tcW w:type="dxa" w:w="6840"/>
            <w:shd w:fill="F4F1E9"/>
            <w:tcMar>
              <w:top w:w="130" w:type="dxa"/>
              <w:start w:w="110" w:type="dxa"/>
              <w:bottom w:w="130" w:type="dxa"/>
              <w:end w:w="110" w:type="dxa"/>
            </w:tcMar>
            <w:tcBorders>
              <w:top w:val="nil"/>
              <w:left w:val="nil"/>
              <w:bottom w:val="nil"/>
              <w:right w:val="nil"/>
            </w:tcBorders>
          </w:tcPr>
          <w:p>
            <w:r>
              <w:rPr>
                <w:rFonts w:ascii="Aptos" w:hAnsi="Aptos"/>
                <w:b w:val="0"/>
                <w:color w:val="17212B"/>
                <w:sz w:val="17"/>
              </w:rPr>
              <w:t>Name the goal, earliest use date, loss tolerance, and amount an ordinary paycheck can repeat.</w:t>
            </w:r>
          </w:p>
        </w:tc>
      </w:tr>
      <w:tr>
        <w:tc>
          <w:tcPr>
            <w:tcW w:type="dxa" w:w="1440"/>
            <w:shd w:fill="142436"/>
            <w:tcMar>
              <w:top w:w="130" w:type="dxa"/>
              <w:start w:w="110" w:type="dxa"/>
              <w:bottom w:w="130" w:type="dxa"/>
              <w:end w:w="110" w:type="dxa"/>
            </w:tcMar>
            <w:tcBorders>
              <w:top w:val="nil"/>
              <w:left w:val="nil"/>
              <w:bottom w:val="nil"/>
              <w:right w:val="nil"/>
            </w:tcBorders>
          </w:tcPr>
          <w:p>
            <w:r>
              <w:rPr>
                <w:rFonts w:ascii="Aptos" w:hAnsi="Aptos"/>
                <w:b/>
                <w:color w:val="FFFFFF"/>
                <w:sz w:val="16"/>
              </w:rPr>
              <w:t>WEEK 3</w:t>
            </w:r>
          </w:p>
        </w:tc>
        <w:tc>
          <w:tcPr>
            <w:tcW w:type="dxa" w:w="1440"/>
            <w:shd w:fill="F2B842"/>
            <w:tcMar>
              <w:top w:w="130" w:type="dxa"/>
              <w:start w:w="110" w:type="dxa"/>
              <w:bottom w:w="130" w:type="dxa"/>
              <w:end w:w="110" w:type="dxa"/>
            </w:tcMar>
            <w:tcBorders>
              <w:top w:val="nil"/>
              <w:left w:val="nil"/>
              <w:bottom w:val="nil"/>
              <w:right w:val="nil"/>
            </w:tcBorders>
          </w:tcPr>
          <w:p>
            <w:r>
              <w:rPr>
                <w:rFonts w:ascii="Aptos" w:hAnsi="Aptos"/>
                <w:b/>
                <w:color w:val="142436"/>
                <w:sz w:val="16"/>
              </w:rPr>
              <w:t>COMPARE</w:t>
            </w:r>
          </w:p>
        </w:tc>
        <w:tc>
          <w:tcPr>
            <w:tcW w:type="dxa" w:w="6840"/>
            <w:shd w:fill="F4F1E9"/>
            <w:tcMar>
              <w:top w:w="130" w:type="dxa"/>
              <w:start w:w="110" w:type="dxa"/>
              <w:bottom w:w="130" w:type="dxa"/>
              <w:end w:w="110" w:type="dxa"/>
            </w:tcMar>
            <w:tcBorders>
              <w:top w:val="nil"/>
              <w:left w:val="nil"/>
              <w:bottom w:val="nil"/>
              <w:right w:val="nil"/>
            </w:tcBorders>
          </w:tcPr>
          <w:p>
            <w:r>
              <w:rPr>
                <w:rFonts w:ascii="Aptos" w:hAnsi="Aptos"/>
                <w:b w:val="0"/>
                <w:color w:val="17212B"/>
                <w:sz w:val="17"/>
              </w:rPr>
              <w:t>Review the available accounts, plan documents, fees, investment menu, and official rules.</w:t>
            </w:r>
          </w:p>
        </w:tc>
      </w:tr>
      <w:tr>
        <w:tc>
          <w:tcPr>
            <w:tcW w:type="dxa" w:w="1440"/>
            <w:shd w:fill="142436"/>
            <w:tcMar>
              <w:top w:w="130" w:type="dxa"/>
              <w:start w:w="110" w:type="dxa"/>
              <w:bottom w:w="130" w:type="dxa"/>
              <w:end w:w="110" w:type="dxa"/>
            </w:tcMar>
            <w:tcBorders>
              <w:top w:val="nil"/>
              <w:left w:val="nil"/>
              <w:bottom w:val="nil"/>
              <w:right w:val="nil"/>
            </w:tcBorders>
          </w:tcPr>
          <w:p>
            <w:r>
              <w:rPr>
                <w:rFonts w:ascii="Aptos" w:hAnsi="Aptos"/>
                <w:b/>
                <w:color w:val="FFFFFF"/>
                <w:sz w:val="16"/>
              </w:rPr>
              <w:t>WEEK 4</w:t>
            </w:r>
          </w:p>
        </w:tc>
        <w:tc>
          <w:tcPr>
            <w:tcW w:type="dxa" w:w="1440"/>
            <w:shd w:fill="F2B842"/>
            <w:tcMar>
              <w:top w:w="130" w:type="dxa"/>
              <w:start w:w="110" w:type="dxa"/>
              <w:bottom w:w="130" w:type="dxa"/>
              <w:end w:w="110" w:type="dxa"/>
            </w:tcMar>
            <w:tcBorders>
              <w:top w:val="nil"/>
              <w:left w:val="nil"/>
              <w:bottom w:val="nil"/>
              <w:right w:val="nil"/>
            </w:tcBorders>
          </w:tcPr>
          <w:p>
            <w:r>
              <w:rPr>
                <w:rFonts w:ascii="Aptos" w:hAnsi="Aptos"/>
                <w:b/>
                <w:color w:val="142436"/>
                <w:sz w:val="16"/>
              </w:rPr>
              <w:t>INSTALL</w:t>
            </w:r>
          </w:p>
        </w:tc>
        <w:tc>
          <w:tcPr>
            <w:tcW w:type="dxa" w:w="6840"/>
            <w:shd w:fill="F4F1E9"/>
            <w:tcMar>
              <w:top w:w="130" w:type="dxa"/>
              <w:start w:w="110" w:type="dxa"/>
              <w:bottom w:w="130" w:type="dxa"/>
              <w:end w:w="110" w:type="dxa"/>
            </w:tcMar>
            <w:tcBorders>
              <w:top w:val="nil"/>
              <w:left w:val="nil"/>
              <w:bottom w:val="nil"/>
              <w:right w:val="nil"/>
            </w:tcBorders>
          </w:tcPr>
          <w:p>
            <w:r>
              <w:rPr>
                <w:rFonts w:ascii="Aptos" w:hAnsi="Aptos"/>
                <w:b w:val="0"/>
                <w:color w:val="17212B"/>
                <w:sz w:val="17"/>
              </w:rPr>
              <w:t>Choose the lane, write the work order, automate the contribution, and hold the first family wealth talk.</w:t>
            </w:r>
          </w:p>
        </w:tc>
      </w:tr>
    </w:tbl>
    <w:p/>
    <w:p>
      <w:pPr>
        <w:keepNext/>
        <w:spacing w:after="100"/>
      </w:pPr>
      <w:r>
        <w:rPr>
          <w:rFonts w:ascii="Aptos" w:hAnsi="Aptos"/>
          <w:b/>
          <w:color w:val="2E6D8F"/>
          <w:sz w:val="17"/>
        </w:rPr>
        <w:t>THE SIGNED WORK ORDER</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OUR TARGET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OUR ACCOUNT / PLAN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OUR REPEATABLE AMOUNT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OUR REVIEW DATE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ook w:firstColumn="1" w:firstRow="1" w:lastColumn="0" w:lastRow="0" w:noHBand="0" w:noVBand="1" w:val="04A0"/>
      </w:tblPr>
      <w:tblGrid>
        <w:gridCol w:w="10166"/>
      </w:tblGrid>
      <w:tr>
        <w:tc>
          <w:tcPr>
            <w:tcW w:type="dxa" w:w="10166"/>
            <w:shd w:fill="F4F1E9"/>
            <w:tcMar>
              <w:top w:w="120" w:type="dxa"/>
              <w:start w:w="150" w:type="dxa"/>
              <w:bottom w:w="120" w:type="dxa"/>
              <w:end w:w="150" w:type="dxa"/>
            </w:tcMar>
            <w:tcBorders>
              <w:top w:val="single" w:sz="4" w:color="CDD2D3"/>
              <w:left w:val="single" w:sz="4" w:color="CDD2D3"/>
              <w:bottom w:val="single" w:sz="4" w:color="CDD2D3"/>
              <w:right w:val="single" w:sz="4" w:color="CDD2D3"/>
            </w:tcBorders>
          </w:tcPr>
          <w:p>
            <w:r>
              <w:rPr>
                <w:rFonts w:ascii="Aptos" w:hAnsi="Aptos"/>
                <w:b/>
                <w:color w:val="142436"/>
                <w:sz w:val="17"/>
              </w:rPr>
              <w:t xml:space="preserve">HOUSEHOLD OWNER / BACKUP  </w:t>
            </w:r>
            <w:r>
              <w:rPr>
                <w:rFonts w:ascii="Aptos" w:hAnsi="Aptos"/>
                <w:b w:val="0"/>
                <w:color w:val="5D6871"/>
                <w:sz w:val="18"/>
              </w:rPr>
              <w:t>________________________________________________________________</w:t>
            </w:r>
          </w:p>
        </w:tc>
      </w:tr>
    </w:tbl>
    <w:p>
      <w:pPr>
        <w:spacing w:after="0" w:line="40" w:lineRule="exact"/>
      </w:pPr>
      <w:r>
        <w:rPr>
          <w:sz w:val="4"/>
        </w:rPr>
        <w:t xml:space="preserve"> </w:t>
      </w:r>
    </w:p>
    <w:tbl>
      <w:tblPr>
        <w:tblW w:type="auto" w:w="0"/>
        <w:jc w:val="left"/>
        <w:tblLayout w:type="fixed"/>
        <w:tblLook w:firstColumn="1" w:firstRow="1" w:lastColumn="0" w:lastRow="0" w:noHBand="0" w:noVBand="1" w:val="04A0"/>
      </w:tblPr>
      <w:tblGrid>
        <w:gridCol w:w="173"/>
        <w:gridCol w:w="9619"/>
      </w:tblGrid>
      <w:tr>
        <w:tc>
          <w:tcPr>
            <w:tcW w:type="dxa" w:w="5083"/>
            <w:tcBorders>
              <w:top w:val="nil"/>
              <w:left w:val="nil"/>
              <w:bottom w:val="nil"/>
              <w:right w:val="nil"/>
            </w:tcBorders>
            <w:shd w:fill="F2B842"/>
            <w:tcMar>
              <w:top w:w="0" w:type="dxa"/>
              <w:start w:w="0" w:type="dxa"/>
              <w:bottom w:w="0" w:type="dxa"/>
              <w:end w:w="0" w:type="dxa"/>
            </w:tcMar>
          </w:tcPr>
          <w:p/>
        </w:tc>
        <w:tc>
          <w:tcPr>
            <w:tcW w:type="dxa" w:w="5083"/>
            <w:tcBorders>
              <w:top w:val="nil"/>
              <w:left w:val="nil"/>
              <w:bottom w:val="nil"/>
              <w:right w:val="nil"/>
            </w:tcBorders>
            <w:shd w:fill="E8EEF1"/>
            <w:tcMar>
              <w:top w:w="145" w:type="dxa"/>
              <w:start w:w="180" w:type="dxa"/>
              <w:bottom w:w="145" w:type="dxa"/>
              <w:end w:w="180" w:type="dxa"/>
            </w:tcMar>
          </w:tcPr>
          <w:p>
            <w:pPr>
              <w:spacing w:after="80"/>
            </w:pPr>
            <w:r>
              <w:rPr>
                <w:rFonts w:ascii="Aptos" w:hAnsi="Aptos"/>
                <w:b/>
                <w:color w:val="142436"/>
                <w:sz w:val="16"/>
              </w:rPr>
              <w:t>THE FINISH LINE FOR MONTH ONE</w:t>
            </w:r>
          </w:p>
          <w:p>
            <w:pPr>
              <w:spacing w:after="0" w:line="276" w:lineRule="auto"/>
            </w:pPr>
            <w:r>
              <w:rPr>
                <w:rFonts w:ascii="Aptos" w:hAnsi="Aptos"/>
                <w:b w:val="0"/>
                <w:color w:val="17212B"/>
                <w:sz w:val="18"/>
              </w:rPr>
              <w:t>The family can explain what the money is for, where it goes, what it owns, what it costs, what could go wrong, and who can find the plan.</w:t>
            </w:r>
          </w:p>
        </w:tc>
      </w:tr>
    </w:tbl>
    <w:p>
      <w:r>
        <w:br w:type="page"/>
      </w:r>
    </w:p>
    <w:tbl>
      <w:tblPr>
        <w:tblW w:type="auto" w:w="0"/>
        <w:jc w:val="left"/>
        <w:tblLayout w:type="fixed"/>
        <w:tblLook w:firstColumn="1" w:firstRow="1" w:lastColumn="0" w:lastRow="0" w:noHBand="0" w:noVBand="1" w:val="04A0"/>
      </w:tblPr>
      <w:tblGrid>
        <w:gridCol w:w="1037"/>
        <w:gridCol w:w="8712"/>
      </w:tblGrid>
      <w:tr>
        <w:tc>
          <w:tcPr>
            <w:tcW w:type="dxa" w:w="5083"/>
            <w:tcBorders>
              <w:top w:val="nil"/>
              <w:left w:val="nil"/>
              <w:bottom w:val="nil"/>
              <w:right w:val="nil"/>
            </w:tcBorders>
            <w:shd w:fill="F2B842"/>
            <w:tcMar>
              <w:top w:w="120" w:type="dxa"/>
              <w:start w:w="60" w:type="dxa"/>
              <w:bottom w:w="120" w:type="dxa"/>
              <w:end w:w="60" w:type="dxa"/>
            </w:tcMar>
            <w:vAlign w:val="center"/>
          </w:tcPr>
          <w:p>
            <w:pPr>
              <w:jc w:val="center"/>
            </w:pPr>
            <w:r>
              <w:rPr>
                <w:rFonts w:ascii="Arial Narrow" w:hAnsi="Arial Narrow"/>
                <w:b/>
                <w:color w:val="142436"/>
                <w:sz w:val="42"/>
              </w:rPr>
              <w:t>A</w:t>
            </w:r>
          </w:p>
        </w:tc>
        <w:tc>
          <w:tcPr>
            <w:tcW w:type="dxa" w:w="5083"/>
            <w:tcBorders>
              <w:top w:val="nil"/>
              <w:left w:val="nil"/>
              <w:bottom w:val="nil"/>
              <w:right w:val="nil"/>
            </w:tcBorders>
            <w:tcMar>
              <w:top w:w="20" w:type="dxa"/>
              <w:start w:w="180" w:type="dxa"/>
              <w:bottom w:w="0" w:type="dxa"/>
              <w:end w:w="0" w:type="dxa"/>
            </w:tcMar>
          </w:tcPr>
          <w:p>
            <w:pPr>
              <w:spacing w:after="80"/>
            </w:pPr>
            <w:r>
              <w:rPr>
                <w:rFonts w:ascii="Aptos" w:hAnsi="Aptos"/>
                <w:b/>
                <w:color w:val="2E6D8F"/>
                <w:sz w:val="16"/>
              </w:rPr>
              <w:t>PLAIN-LANGUAGE GLOSSARY</w:t>
            </w:r>
          </w:p>
          <w:p>
            <w:pPr>
              <w:spacing w:after="0"/>
            </w:pPr>
            <w:r>
              <w:rPr>
                <w:rFonts w:ascii="Arial Narrow" w:hAnsi="Arial Narrow"/>
                <w:b/>
                <w:caps/>
                <w:color w:val="000000"/>
                <w:sz w:val="51"/>
              </w:rPr>
              <w:t>The words should serve the worker—not shut the worker out.</w:t>
            </w:r>
          </w:p>
        </w:tc>
      </w:tr>
    </w:tbl>
    <w:p>
      <w:pPr>
        <w:spacing w:before="300" w:after="280" w:line="276" w:lineRule="auto"/>
      </w:pPr>
      <w:r>
        <w:rPr>
          <w:rFonts w:ascii="Aptos" w:hAnsi="Aptos"/>
          <w:b w:val="0"/>
          <w:color w:val="5D6871"/>
          <w:sz w:val="23"/>
        </w:rPr>
        <w:t>Use this page to translate the terms you will see on plan menus, fund pages, brokerage screens, and company filings.</w:t>
      </w:r>
    </w:p>
    <w:tbl>
      <w:tblPr>
        <w:tblW w:type="auto" w:w="0"/>
        <w:jc w:val="left"/>
        <w:tblLayout w:type="fixed"/>
        <w:tblLook w:firstColumn="1" w:firstRow="1" w:lastColumn="0" w:lastRow="0" w:noHBand="0" w:noVBand="1" w:val="04A0"/>
      </w:tblPr>
      <w:tblGrid>
        <w:gridCol w:w="5083"/>
        <w:gridCol w:w="5083"/>
      </w:tblGrid>
      <w:tr>
        <w:tc>
          <w:tcPr>
            <w:tcW w:type="dxa" w:w="2232"/>
            <w:shd w:fill="F4F1E9"/>
            <w:tcMar>
              <w:top w:w="75" w:type="dxa"/>
              <w:start w:w="100" w:type="dxa"/>
              <w:bottom w:w="75" w:type="dxa"/>
              <w:end w:w="100" w:type="dxa"/>
            </w:tcMar>
            <w:tcBorders>
              <w:top w:val="nil"/>
              <w:left w:val="nil"/>
              <w:bottom w:val="nil"/>
              <w:right w:val="nil"/>
            </w:tcBorders>
          </w:tcPr>
          <w:p>
            <w:r>
              <w:rPr>
                <w:rFonts w:ascii="Aptos" w:hAnsi="Aptos"/>
                <w:b/>
                <w:color w:val="2E6D8F"/>
                <w:sz w:val="15"/>
              </w:rPr>
              <w:t>ASSET ALLOCATION</w:t>
            </w:r>
          </w:p>
        </w:tc>
        <w:tc>
          <w:tcPr>
            <w:tcW w:type="dxa" w:w="7488"/>
            <w:shd w:fill="F4F1E9"/>
            <w:tcMar>
              <w:top w:w="75" w:type="dxa"/>
              <w:start w:w="100" w:type="dxa"/>
              <w:bottom w:w="75" w:type="dxa"/>
              <w:end w:w="100" w:type="dxa"/>
            </w:tcMar>
            <w:tcBorders>
              <w:top w:val="nil"/>
              <w:left w:val="nil"/>
              <w:bottom w:val="nil"/>
              <w:right w:val="nil"/>
            </w:tcBorders>
          </w:tcPr>
          <w:p>
            <w:r>
              <w:rPr>
                <w:rFonts w:ascii="Aptos" w:hAnsi="Aptos"/>
                <w:b w:val="0"/>
                <w:color w:val="17212B"/>
                <w:sz w:val="16"/>
              </w:rPr>
              <w:t>How money is divided among categories such as stocks, bonds, and cash.</w:t>
            </w:r>
          </w:p>
        </w:tc>
      </w:tr>
      <w:tr>
        <w:tc>
          <w:tcPr>
            <w:tcW w:type="dxa" w:w="2232"/>
            <w:shd w:fill="FFFFFF"/>
            <w:tcMar>
              <w:top w:w="75" w:type="dxa"/>
              <w:start w:w="100" w:type="dxa"/>
              <w:bottom w:w="75" w:type="dxa"/>
              <w:end w:w="100" w:type="dxa"/>
            </w:tcMar>
            <w:tcBorders>
              <w:top w:val="nil"/>
              <w:left w:val="nil"/>
              <w:bottom w:val="nil"/>
              <w:right w:val="nil"/>
            </w:tcBorders>
          </w:tcPr>
          <w:p>
            <w:r>
              <w:rPr>
                <w:rFonts w:ascii="Aptos" w:hAnsi="Aptos"/>
                <w:b/>
                <w:color w:val="2E6D8F"/>
                <w:sz w:val="15"/>
              </w:rPr>
              <w:t>BOND</w:t>
            </w:r>
          </w:p>
        </w:tc>
        <w:tc>
          <w:tcPr>
            <w:tcW w:type="dxa" w:w="7488"/>
            <w:shd w:fill="FFFFFF"/>
            <w:tcMar>
              <w:top w:w="75" w:type="dxa"/>
              <w:start w:w="100" w:type="dxa"/>
              <w:bottom w:w="75" w:type="dxa"/>
              <w:end w:w="100" w:type="dxa"/>
            </w:tcMar>
            <w:tcBorders>
              <w:top w:val="nil"/>
              <w:left w:val="nil"/>
              <w:bottom w:val="nil"/>
              <w:right w:val="nil"/>
            </w:tcBorders>
          </w:tcPr>
          <w:p>
            <w:r>
              <w:rPr>
                <w:rFonts w:ascii="Aptos" w:hAnsi="Aptos"/>
                <w:b w:val="0"/>
                <w:color w:val="17212B"/>
                <w:sz w:val="16"/>
              </w:rPr>
              <w:t>A loan to a government or company that generally promises interest and repayment, subject to risk.</w:t>
            </w:r>
          </w:p>
        </w:tc>
      </w:tr>
      <w:tr>
        <w:tc>
          <w:tcPr>
            <w:tcW w:type="dxa" w:w="2232"/>
            <w:shd w:fill="F4F1E9"/>
            <w:tcMar>
              <w:top w:w="75" w:type="dxa"/>
              <w:start w:w="100" w:type="dxa"/>
              <w:bottom w:w="75" w:type="dxa"/>
              <w:end w:w="100" w:type="dxa"/>
            </w:tcMar>
            <w:tcBorders>
              <w:top w:val="nil"/>
              <w:left w:val="nil"/>
              <w:bottom w:val="nil"/>
              <w:right w:val="nil"/>
            </w:tcBorders>
          </w:tcPr>
          <w:p>
            <w:r>
              <w:rPr>
                <w:rFonts w:ascii="Aptos" w:hAnsi="Aptos"/>
                <w:b/>
                <w:color w:val="2E6D8F"/>
                <w:sz w:val="15"/>
              </w:rPr>
              <w:t>BROKERAGE ACCOUNT</w:t>
            </w:r>
          </w:p>
        </w:tc>
        <w:tc>
          <w:tcPr>
            <w:tcW w:type="dxa" w:w="7488"/>
            <w:shd w:fill="F4F1E9"/>
            <w:tcMar>
              <w:top w:w="75" w:type="dxa"/>
              <w:start w:w="100" w:type="dxa"/>
              <w:bottom w:w="75" w:type="dxa"/>
              <w:end w:w="100" w:type="dxa"/>
            </w:tcMar>
            <w:tcBorders>
              <w:top w:val="nil"/>
              <w:left w:val="nil"/>
              <w:bottom w:val="nil"/>
              <w:right w:val="nil"/>
            </w:tcBorders>
          </w:tcPr>
          <w:p>
            <w:r>
              <w:rPr>
                <w:rFonts w:ascii="Aptos" w:hAnsi="Aptos"/>
                <w:b w:val="0"/>
                <w:color w:val="17212B"/>
                <w:sz w:val="16"/>
              </w:rPr>
              <w:t>An account used to buy, hold, and sell investments.</w:t>
            </w:r>
          </w:p>
        </w:tc>
      </w:tr>
      <w:tr>
        <w:tc>
          <w:tcPr>
            <w:tcW w:type="dxa" w:w="2232"/>
            <w:shd w:fill="FFFFFF"/>
            <w:tcMar>
              <w:top w:w="75" w:type="dxa"/>
              <w:start w:w="100" w:type="dxa"/>
              <w:bottom w:w="75" w:type="dxa"/>
              <w:end w:w="100" w:type="dxa"/>
            </w:tcMar>
            <w:tcBorders>
              <w:top w:val="nil"/>
              <w:left w:val="nil"/>
              <w:bottom w:val="nil"/>
              <w:right w:val="nil"/>
            </w:tcBorders>
          </w:tcPr>
          <w:p>
            <w:r>
              <w:rPr>
                <w:rFonts w:ascii="Aptos" w:hAnsi="Aptos"/>
                <w:b/>
                <w:color w:val="2E6D8F"/>
                <w:sz w:val="15"/>
              </w:rPr>
              <w:t>DIVERSIFICATION</w:t>
            </w:r>
          </w:p>
        </w:tc>
        <w:tc>
          <w:tcPr>
            <w:tcW w:type="dxa" w:w="7488"/>
            <w:shd w:fill="FFFFFF"/>
            <w:tcMar>
              <w:top w:w="75" w:type="dxa"/>
              <w:start w:w="100" w:type="dxa"/>
              <w:bottom w:w="75" w:type="dxa"/>
              <w:end w:w="100" w:type="dxa"/>
            </w:tcMar>
            <w:tcBorders>
              <w:top w:val="nil"/>
              <w:left w:val="nil"/>
              <w:bottom w:val="nil"/>
              <w:right w:val="nil"/>
            </w:tcBorders>
          </w:tcPr>
          <w:p>
            <w:r>
              <w:rPr>
                <w:rFonts w:ascii="Aptos" w:hAnsi="Aptos"/>
                <w:b w:val="0"/>
                <w:color w:val="17212B"/>
                <w:sz w:val="16"/>
              </w:rPr>
              <w:t>Spreading exposure across investments so one result has less control over the whole plan.</w:t>
            </w:r>
          </w:p>
        </w:tc>
      </w:tr>
      <w:tr>
        <w:tc>
          <w:tcPr>
            <w:tcW w:type="dxa" w:w="2232"/>
            <w:shd w:fill="F4F1E9"/>
            <w:tcMar>
              <w:top w:w="75" w:type="dxa"/>
              <w:start w:w="100" w:type="dxa"/>
              <w:bottom w:w="75" w:type="dxa"/>
              <w:end w:w="100" w:type="dxa"/>
            </w:tcMar>
            <w:tcBorders>
              <w:top w:val="nil"/>
              <w:left w:val="nil"/>
              <w:bottom w:val="nil"/>
              <w:right w:val="nil"/>
            </w:tcBorders>
          </w:tcPr>
          <w:p>
            <w:r>
              <w:rPr>
                <w:rFonts w:ascii="Aptos" w:hAnsi="Aptos"/>
                <w:b/>
                <w:color w:val="2E6D8F"/>
                <w:sz w:val="15"/>
              </w:rPr>
              <w:t>DIVIDEND</w:t>
            </w:r>
          </w:p>
        </w:tc>
        <w:tc>
          <w:tcPr>
            <w:tcW w:type="dxa" w:w="7488"/>
            <w:shd w:fill="F4F1E9"/>
            <w:tcMar>
              <w:top w:w="75" w:type="dxa"/>
              <w:start w:w="100" w:type="dxa"/>
              <w:bottom w:w="75" w:type="dxa"/>
              <w:end w:w="100" w:type="dxa"/>
            </w:tcMar>
            <w:tcBorders>
              <w:top w:val="nil"/>
              <w:left w:val="nil"/>
              <w:bottom w:val="nil"/>
              <w:right w:val="nil"/>
            </w:tcBorders>
          </w:tcPr>
          <w:p>
            <w:r>
              <w:rPr>
                <w:rFonts w:ascii="Aptos" w:hAnsi="Aptos"/>
                <w:b w:val="0"/>
                <w:color w:val="17212B"/>
                <w:sz w:val="16"/>
              </w:rPr>
              <w:t>A payment a company or fund may distribute to owners; it is not guaranteed.</w:t>
            </w:r>
          </w:p>
        </w:tc>
      </w:tr>
      <w:tr>
        <w:tc>
          <w:tcPr>
            <w:tcW w:type="dxa" w:w="2232"/>
            <w:shd w:fill="FFFFFF"/>
            <w:tcMar>
              <w:top w:w="75" w:type="dxa"/>
              <w:start w:w="100" w:type="dxa"/>
              <w:bottom w:w="75" w:type="dxa"/>
              <w:end w:w="100" w:type="dxa"/>
            </w:tcMar>
            <w:tcBorders>
              <w:top w:val="nil"/>
              <w:left w:val="nil"/>
              <w:bottom w:val="nil"/>
              <w:right w:val="nil"/>
            </w:tcBorders>
          </w:tcPr>
          <w:p>
            <w:r>
              <w:rPr>
                <w:rFonts w:ascii="Aptos" w:hAnsi="Aptos"/>
                <w:b/>
                <w:color w:val="2E6D8F"/>
                <w:sz w:val="15"/>
              </w:rPr>
              <w:t>ETF</w:t>
            </w:r>
          </w:p>
        </w:tc>
        <w:tc>
          <w:tcPr>
            <w:tcW w:type="dxa" w:w="7488"/>
            <w:shd w:fill="FFFFFF"/>
            <w:tcMar>
              <w:top w:w="75" w:type="dxa"/>
              <w:start w:w="100" w:type="dxa"/>
              <w:bottom w:w="75" w:type="dxa"/>
              <w:end w:w="100" w:type="dxa"/>
            </w:tcMar>
            <w:tcBorders>
              <w:top w:val="nil"/>
              <w:left w:val="nil"/>
              <w:bottom w:val="nil"/>
              <w:right w:val="nil"/>
            </w:tcBorders>
          </w:tcPr>
          <w:p>
            <w:r>
              <w:rPr>
                <w:rFonts w:ascii="Aptos" w:hAnsi="Aptos"/>
                <w:b w:val="0"/>
                <w:color w:val="17212B"/>
                <w:sz w:val="16"/>
              </w:rPr>
              <w:t>An exchange-traded fund: a basket of investments that trades during the market day.</w:t>
            </w:r>
          </w:p>
        </w:tc>
      </w:tr>
      <w:tr>
        <w:tc>
          <w:tcPr>
            <w:tcW w:type="dxa" w:w="2232"/>
            <w:shd w:fill="F4F1E9"/>
            <w:tcMar>
              <w:top w:w="75" w:type="dxa"/>
              <w:start w:w="100" w:type="dxa"/>
              <w:bottom w:w="75" w:type="dxa"/>
              <w:end w:w="100" w:type="dxa"/>
            </w:tcMar>
            <w:tcBorders>
              <w:top w:val="nil"/>
              <w:left w:val="nil"/>
              <w:bottom w:val="nil"/>
              <w:right w:val="nil"/>
            </w:tcBorders>
          </w:tcPr>
          <w:p>
            <w:r>
              <w:rPr>
                <w:rFonts w:ascii="Aptos" w:hAnsi="Aptos"/>
                <w:b/>
                <w:color w:val="2E6D8F"/>
                <w:sz w:val="15"/>
              </w:rPr>
              <w:t>EXPENSE RATIO</w:t>
            </w:r>
          </w:p>
        </w:tc>
        <w:tc>
          <w:tcPr>
            <w:tcW w:type="dxa" w:w="7488"/>
            <w:shd w:fill="F4F1E9"/>
            <w:tcMar>
              <w:top w:w="75" w:type="dxa"/>
              <w:start w:w="100" w:type="dxa"/>
              <w:bottom w:w="75" w:type="dxa"/>
              <w:end w:w="100" w:type="dxa"/>
            </w:tcMar>
            <w:tcBorders>
              <w:top w:val="nil"/>
              <w:left w:val="nil"/>
              <w:bottom w:val="nil"/>
              <w:right w:val="nil"/>
            </w:tcBorders>
          </w:tcPr>
          <w:p>
            <w:r>
              <w:rPr>
                <w:rFonts w:ascii="Aptos" w:hAnsi="Aptos"/>
                <w:b w:val="0"/>
                <w:color w:val="17212B"/>
                <w:sz w:val="16"/>
              </w:rPr>
              <w:t>The annual operating cost of a fund, shown as a percentage of assets.</w:t>
            </w:r>
          </w:p>
        </w:tc>
      </w:tr>
      <w:tr>
        <w:tc>
          <w:tcPr>
            <w:tcW w:type="dxa" w:w="2232"/>
            <w:shd w:fill="FFFFFF"/>
            <w:tcMar>
              <w:top w:w="75" w:type="dxa"/>
              <w:start w:w="100" w:type="dxa"/>
              <w:bottom w:w="75" w:type="dxa"/>
              <w:end w:w="100" w:type="dxa"/>
            </w:tcMar>
            <w:tcBorders>
              <w:top w:val="nil"/>
              <w:left w:val="nil"/>
              <w:bottom w:val="nil"/>
              <w:right w:val="nil"/>
            </w:tcBorders>
          </w:tcPr>
          <w:p>
            <w:r>
              <w:rPr>
                <w:rFonts w:ascii="Aptos" w:hAnsi="Aptos"/>
                <w:b/>
                <w:color w:val="2E6D8F"/>
                <w:sz w:val="15"/>
              </w:rPr>
              <w:t>INDEX FUND</w:t>
            </w:r>
          </w:p>
        </w:tc>
        <w:tc>
          <w:tcPr>
            <w:tcW w:type="dxa" w:w="7488"/>
            <w:shd w:fill="FFFFFF"/>
            <w:tcMar>
              <w:top w:w="75" w:type="dxa"/>
              <w:start w:w="100" w:type="dxa"/>
              <w:bottom w:w="75" w:type="dxa"/>
              <w:end w:w="100" w:type="dxa"/>
            </w:tcMar>
            <w:tcBorders>
              <w:top w:val="nil"/>
              <w:left w:val="nil"/>
              <w:bottom w:val="nil"/>
              <w:right w:val="nil"/>
            </w:tcBorders>
          </w:tcPr>
          <w:p>
            <w:r>
              <w:rPr>
                <w:rFonts w:ascii="Aptos" w:hAnsi="Aptos"/>
                <w:b w:val="0"/>
                <w:color w:val="17212B"/>
                <w:sz w:val="16"/>
              </w:rPr>
              <w:t>A fund designed to track a defined market index instead of selecting securities one by one.</w:t>
            </w:r>
          </w:p>
        </w:tc>
      </w:tr>
      <w:tr>
        <w:tc>
          <w:tcPr>
            <w:tcW w:type="dxa" w:w="2232"/>
            <w:shd w:fill="F4F1E9"/>
            <w:tcMar>
              <w:top w:w="75" w:type="dxa"/>
              <w:start w:w="100" w:type="dxa"/>
              <w:bottom w:w="75" w:type="dxa"/>
              <w:end w:w="100" w:type="dxa"/>
            </w:tcMar>
            <w:tcBorders>
              <w:top w:val="nil"/>
              <w:left w:val="nil"/>
              <w:bottom w:val="nil"/>
              <w:right w:val="nil"/>
            </w:tcBorders>
          </w:tcPr>
          <w:p>
            <w:r>
              <w:rPr>
                <w:rFonts w:ascii="Aptos" w:hAnsi="Aptos"/>
                <w:b/>
                <w:color w:val="2E6D8F"/>
                <w:sz w:val="15"/>
              </w:rPr>
              <w:t>IRA</w:t>
            </w:r>
          </w:p>
        </w:tc>
        <w:tc>
          <w:tcPr>
            <w:tcW w:type="dxa" w:w="7488"/>
            <w:shd w:fill="F4F1E9"/>
            <w:tcMar>
              <w:top w:w="75" w:type="dxa"/>
              <w:start w:w="100" w:type="dxa"/>
              <w:bottom w:w="75" w:type="dxa"/>
              <w:end w:w="100" w:type="dxa"/>
            </w:tcMar>
            <w:tcBorders>
              <w:top w:val="nil"/>
              <w:left w:val="nil"/>
              <w:bottom w:val="nil"/>
              <w:right w:val="nil"/>
            </w:tcBorders>
          </w:tcPr>
          <w:p>
            <w:r>
              <w:rPr>
                <w:rFonts w:ascii="Aptos" w:hAnsi="Aptos"/>
                <w:b w:val="0"/>
                <w:color w:val="17212B"/>
                <w:sz w:val="16"/>
              </w:rPr>
              <w:t>An individual retirement account with specific tax and eligibility rules.</w:t>
            </w:r>
          </w:p>
        </w:tc>
      </w:tr>
      <w:tr>
        <w:tc>
          <w:tcPr>
            <w:tcW w:type="dxa" w:w="2232"/>
            <w:shd w:fill="FFFFFF"/>
            <w:tcMar>
              <w:top w:w="75" w:type="dxa"/>
              <w:start w:w="100" w:type="dxa"/>
              <w:bottom w:w="75" w:type="dxa"/>
              <w:end w:w="100" w:type="dxa"/>
            </w:tcMar>
            <w:tcBorders>
              <w:top w:val="nil"/>
              <w:left w:val="nil"/>
              <w:bottom w:val="nil"/>
              <w:right w:val="nil"/>
            </w:tcBorders>
          </w:tcPr>
          <w:p>
            <w:r>
              <w:rPr>
                <w:rFonts w:ascii="Aptos" w:hAnsi="Aptos"/>
                <w:b/>
                <w:color w:val="2E6D8F"/>
                <w:sz w:val="15"/>
              </w:rPr>
              <w:t>REBALANCING</w:t>
            </w:r>
          </w:p>
        </w:tc>
        <w:tc>
          <w:tcPr>
            <w:tcW w:type="dxa" w:w="7488"/>
            <w:shd w:fill="FFFFFF"/>
            <w:tcMar>
              <w:top w:w="75" w:type="dxa"/>
              <w:start w:w="100" w:type="dxa"/>
              <w:bottom w:w="75" w:type="dxa"/>
              <w:end w:w="100" w:type="dxa"/>
            </w:tcMar>
            <w:tcBorders>
              <w:top w:val="nil"/>
              <w:left w:val="nil"/>
              <w:bottom w:val="nil"/>
              <w:right w:val="nil"/>
            </w:tcBorders>
          </w:tcPr>
          <w:p>
            <w:r>
              <w:rPr>
                <w:rFonts w:ascii="Aptos" w:hAnsi="Aptos"/>
                <w:b w:val="0"/>
                <w:color w:val="17212B"/>
                <w:sz w:val="16"/>
              </w:rPr>
              <w:t>Bringing an investment mix back toward its written target.</w:t>
            </w:r>
          </w:p>
        </w:tc>
      </w:tr>
      <w:tr>
        <w:tc>
          <w:tcPr>
            <w:tcW w:type="dxa" w:w="2232"/>
            <w:shd w:fill="F4F1E9"/>
            <w:tcMar>
              <w:top w:w="75" w:type="dxa"/>
              <w:start w:w="100" w:type="dxa"/>
              <w:bottom w:w="75" w:type="dxa"/>
              <w:end w:w="100" w:type="dxa"/>
            </w:tcMar>
            <w:tcBorders>
              <w:top w:val="nil"/>
              <w:left w:val="nil"/>
              <w:bottom w:val="nil"/>
              <w:right w:val="nil"/>
            </w:tcBorders>
          </w:tcPr>
          <w:p>
            <w:r>
              <w:rPr>
                <w:rFonts w:ascii="Aptos" w:hAnsi="Aptos"/>
                <w:b/>
                <w:color w:val="2E6D8F"/>
                <w:sz w:val="15"/>
              </w:rPr>
              <w:t>STOCK</w:t>
            </w:r>
          </w:p>
        </w:tc>
        <w:tc>
          <w:tcPr>
            <w:tcW w:type="dxa" w:w="7488"/>
            <w:shd w:fill="F4F1E9"/>
            <w:tcMar>
              <w:top w:w="75" w:type="dxa"/>
              <w:start w:w="100" w:type="dxa"/>
              <w:bottom w:w="75" w:type="dxa"/>
              <w:end w:w="100" w:type="dxa"/>
            </w:tcMar>
            <w:tcBorders>
              <w:top w:val="nil"/>
              <w:left w:val="nil"/>
              <w:bottom w:val="nil"/>
              <w:right w:val="nil"/>
            </w:tcBorders>
          </w:tcPr>
          <w:p>
            <w:r>
              <w:rPr>
                <w:rFonts w:ascii="Aptos" w:hAnsi="Aptos"/>
                <w:b w:val="0"/>
                <w:color w:val="17212B"/>
                <w:sz w:val="16"/>
              </w:rPr>
              <w:t>An ownership interest in a company.</w:t>
            </w:r>
          </w:p>
        </w:tc>
      </w:tr>
      <w:tr>
        <w:tc>
          <w:tcPr>
            <w:tcW w:type="dxa" w:w="2232"/>
            <w:shd w:fill="FFFFFF"/>
            <w:tcMar>
              <w:top w:w="75" w:type="dxa"/>
              <w:start w:w="100" w:type="dxa"/>
              <w:bottom w:w="75" w:type="dxa"/>
              <w:end w:w="100" w:type="dxa"/>
            </w:tcMar>
            <w:tcBorders>
              <w:top w:val="nil"/>
              <w:left w:val="nil"/>
              <w:bottom w:val="nil"/>
              <w:right w:val="nil"/>
            </w:tcBorders>
          </w:tcPr>
          <w:p>
            <w:r>
              <w:rPr>
                <w:rFonts w:ascii="Aptos" w:hAnsi="Aptos"/>
                <w:b/>
                <w:color w:val="2E6D8F"/>
                <w:sz w:val="15"/>
              </w:rPr>
              <w:t>TARGET-DATE FUND</w:t>
            </w:r>
          </w:p>
        </w:tc>
        <w:tc>
          <w:tcPr>
            <w:tcW w:type="dxa" w:w="7488"/>
            <w:shd w:fill="FFFFFF"/>
            <w:tcMar>
              <w:top w:w="75" w:type="dxa"/>
              <w:start w:w="100" w:type="dxa"/>
              <w:bottom w:w="75" w:type="dxa"/>
              <w:end w:w="100" w:type="dxa"/>
            </w:tcMar>
            <w:tcBorders>
              <w:top w:val="nil"/>
              <w:left w:val="nil"/>
              <w:bottom w:val="nil"/>
              <w:right w:val="nil"/>
            </w:tcBorders>
          </w:tcPr>
          <w:p>
            <w:r>
              <w:rPr>
                <w:rFonts w:ascii="Aptos" w:hAnsi="Aptos"/>
                <w:b w:val="0"/>
                <w:color w:val="17212B"/>
                <w:sz w:val="16"/>
              </w:rPr>
              <w:t>A diversified fund whose asset mix generally changes as a named year approaches.</w:t>
            </w:r>
          </w:p>
        </w:tc>
      </w:tr>
      <w:tr>
        <w:tc>
          <w:tcPr>
            <w:tcW w:type="dxa" w:w="2232"/>
            <w:shd w:fill="F4F1E9"/>
            <w:tcMar>
              <w:top w:w="75" w:type="dxa"/>
              <w:start w:w="100" w:type="dxa"/>
              <w:bottom w:w="75" w:type="dxa"/>
              <w:end w:w="100" w:type="dxa"/>
            </w:tcMar>
            <w:tcBorders>
              <w:top w:val="nil"/>
              <w:left w:val="nil"/>
              <w:bottom w:val="nil"/>
              <w:right w:val="nil"/>
            </w:tcBorders>
          </w:tcPr>
          <w:p>
            <w:r>
              <w:rPr>
                <w:rFonts w:ascii="Aptos" w:hAnsi="Aptos"/>
                <w:b/>
                <w:color w:val="2E6D8F"/>
                <w:sz w:val="15"/>
              </w:rPr>
              <w:t>VOLATILITY</w:t>
            </w:r>
          </w:p>
        </w:tc>
        <w:tc>
          <w:tcPr>
            <w:tcW w:type="dxa" w:w="7488"/>
            <w:shd w:fill="F4F1E9"/>
            <w:tcMar>
              <w:top w:w="75" w:type="dxa"/>
              <w:start w:w="100" w:type="dxa"/>
              <w:bottom w:w="75" w:type="dxa"/>
              <w:end w:w="100" w:type="dxa"/>
            </w:tcMar>
            <w:tcBorders>
              <w:top w:val="nil"/>
              <w:left w:val="nil"/>
              <w:bottom w:val="nil"/>
              <w:right w:val="nil"/>
            </w:tcBorders>
          </w:tcPr>
          <w:p>
            <w:r>
              <w:rPr>
                <w:rFonts w:ascii="Aptos" w:hAnsi="Aptos"/>
                <w:b w:val="0"/>
                <w:color w:val="17212B"/>
                <w:sz w:val="16"/>
              </w:rPr>
              <w:t>How sharply and frequently an investment’s price moves.</w:t>
            </w:r>
          </w:p>
        </w:tc>
      </w:tr>
    </w:tbl>
    <w:p>
      <w:r>
        <w:br w:type="page"/>
      </w:r>
    </w:p>
    <w:tbl>
      <w:tblPr>
        <w:tblW w:type="auto" w:w="0"/>
        <w:jc w:val="left"/>
        <w:tblLayout w:type="fixed"/>
        <w:tblLook w:firstColumn="1" w:firstRow="1" w:lastColumn="0" w:lastRow="0" w:noHBand="0" w:noVBand="1" w:val="04A0"/>
      </w:tblPr>
      <w:tblGrid>
        <w:gridCol w:w="1037"/>
        <w:gridCol w:w="8712"/>
      </w:tblGrid>
      <w:tr>
        <w:tc>
          <w:tcPr>
            <w:tcW w:type="dxa" w:w="5083"/>
            <w:tcBorders>
              <w:top w:val="nil"/>
              <w:left w:val="nil"/>
              <w:bottom w:val="nil"/>
              <w:right w:val="nil"/>
            </w:tcBorders>
            <w:shd w:fill="F2B842"/>
            <w:tcMar>
              <w:top w:w="120" w:type="dxa"/>
              <w:start w:w="60" w:type="dxa"/>
              <w:bottom w:w="120" w:type="dxa"/>
              <w:end w:w="60" w:type="dxa"/>
            </w:tcMar>
            <w:vAlign w:val="center"/>
          </w:tcPr>
          <w:p>
            <w:pPr>
              <w:jc w:val="center"/>
            </w:pPr>
            <w:r>
              <w:rPr>
                <w:rFonts w:ascii="Arial Narrow" w:hAnsi="Arial Narrow"/>
                <w:b/>
                <w:color w:val="142436"/>
                <w:sz w:val="42"/>
              </w:rPr>
              <w:t>B</w:t>
            </w:r>
          </w:p>
        </w:tc>
        <w:tc>
          <w:tcPr>
            <w:tcW w:type="dxa" w:w="5083"/>
            <w:tcBorders>
              <w:top w:val="nil"/>
              <w:left w:val="nil"/>
              <w:bottom w:val="nil"/>
              <w:right w:val="nil"/>
            </w:tcBorders>
            <w:tcMar>
              <w:top w:w="20" w:type="dxa"/>
              <w:start w:w="180" w:type="dxa"/>
              <w:bottom w:w="0" w:type="dxa"/>
              <w:end w:w="0" w:type="dxa"/>
            </w:tcMar>
          </w:tcPr>
          <w:p>
            <w:pPr>
              <w:spacing w:after="80"/>
            </w:pPr>
            <w:r>
              <w:rPr>
                <w:rFonts w:ascii="Aptos" w:hAnsi="Aptos"/>
                <w:b/>
                <w:color w:val="2E6D8F"/>
                <w:sz w:val="16"/>
              </w:rPr>
              <w:t>SOURCES &amp; INDEPENDENCE</w:t>
            </w:r>
          </w:p>
          <w:p>
            <w:pPr>
              <w:spacing w:after="0"/>
            </w:pPr>
            <w:r>
              <w:rPr>
                <w:rFonts w:ascii="Arial Narrow" w:hAnsi="Arial Narrow"/>
                <w:b/>
                <w:caps/>
                <w:color w:val="000000"/>
                <w:sz w:val="51"/>
              </w:rPr>
              <w:t>Use the flow. Verify the rules.</w:t>
            </w:r>
          </w:p>
        </w:tc>
      </w:tr>
    </w:tbl>
    <w:p>
      <w:pPr>
        <w:spacing w:before="300" w:after="280" w:line="276" w:lineRule="auto"/>
      </w:pPr>
      <w:r>
        <w:rPr>
          <w:rFonts w:ascii="Aptos" w:hAnsi="Aptos"/>
          <w:b w:val="0"/>
          <w:color w:val="5D6871"/>
          <w:sz w:val="23"/>
        </w:rPr>
        <w:t>Creator education can make the language accessible. Official sources, current plan documents, verified records, and qualified advice control high-stakes decisions.</w:t>
      </w:r>
    </w:p>
    <w:p>
      <w:pPr>
        <w:keepNext/>
        <w:spacing w:before="0" w:after="120"/>
      </w:pPr>
      <w:r>
        <w:rPr>
          <w:rFonts w:ascii="Arial Narrow" w:hAnsi="Arial Narrow"/>
          <w:b/>
          <w:caps w:val="0"/>
          <w:color w:val="000000"/>
          <w:sz w:val="33"/>
        </w:rPr>
        <w:t>Independence note</w:t>
      </w:r>
    </w:p>
    <w:p>
      <w:pPr>
        <w:spacing w:after="140" w:line="283" w:lineRule="auto"/>
      </w:pPr>
      <w:r>
        <w:rPr>
          <w:rFonts w:ascii="Aptos" w:hAnsi="Aptos"/>
          <w:b w:val="0"/>
          <w:color w:val="17212B"/>
          <w:sz w:val="19"/>
        </w:rPr>
        <w:t>This guide is independently written by Blue Collar Wealth. Its broad teaching sequence—lived reality, foundations, ownership, repeatable action, and family legacy—was informed by publicly available Wall Street Trapper education. Blue Collar Wealth is not affiliated with or endorsed by Wall Street Trapper or Trapper University.</w:t>
      </w:r>
    </w:p>
    <w:p>
      <w:pPr>
        <w:keepNext/>
        <w:spacing w:before="0" w:after="120"/>
      </w:pPr>
      <w:r>
        <w:rPr>
          <w:rFonts w:ascii="Arial Narrow" w:hAnsi="Arial Narrow"/>
          <w:b/>
          <w:caps w:val="0"/>
          <w:color w:val="000000"/>
          <w:sz w:val="33"/>
        </w:rPr>
        <w:t>Primary financial references</w:t>
      </w:r>
    </w:p>
    <w:p>
      <w:pPr>
        <w:spacing w:after="100"/>
      </w:pPr>
      <w:r>
        <w:rPr>
          <w:rFonts w:ascii="Aptos" w:hAnsi="Aptos"/>
          <w:b/>
          <w:color w:val="F2B842"/>
          <w:sz w:val="15"/>
        </w:rPr>
        <w:t xml:space="preserve">■  </w:t>
      </w:r>
      <w:hyperlink r:id="rId18">
        <w:r>
          <w:rPr>
            <w:color w:val="2E6D8F"/>
            <w:u w:val="single"/>
          </w:rPr>
          <w:t>Investor.gov — Introduction to Investing</w:t>
        </w:r>
      </w:hyperlink>
    </w:p>
    <w:p>
      <w:pPr>
        <w:spacing w:after="100"/>
      </w:pPr>
      <w:r>
        <w:rPr>
          <w:rFonts w:ascii="Aptos" w:hAnsi="Aptos"/>
          <w:b/>
          <w:color w:val="F2B842"/>
          <w:sz w:val="15"/>
        </w:rPr>
        <w:t xml:space="preserve">■  </w:t>
      </w:r>
      <w:hyperlink r:id="rId14">
        <w:r>
          <w:rPr>
            <w:color w:val="2E6D8F"/>
            <w:u w:val="single"/>
          </w:rPr>
          <w:t>Investor.gov — Asset Allocation and Diversification</w:t>
        </w:r>
      </w:hyperlink>
    </w:p>
    <w:p>
      <w:pPr>
        <w:spacing w:after="100"/>
      </w:pPr>
      <w:r>
        <w:rPr>
          <w:rFonts w:ascii="Aptos" w:hAnsi="Aptos"/>
          <w:b/>
          <w:color w:val="F2B842"/>
          <w:sz w:val="15"/>
        </w:rPr>
        <w:t xml:space="preserve">■  </w:t>
      </w:r>
      <w:hyperlink r:id="rId15">
        <w:r>
          <w:rPr>
            <w:color w:val="2E6D8F"/>
            <w:u w:val="single"/>
          </w:rPr>
          <w:t>Investor.gov — Investing on Your Own</w:t>
        </w:r>
      </w:hyperlink>
    </w:p>
    <w:p>
      <w:pPr>
        <w:spacing w:after="100"/>
      </w:pPr>
      <w:r>
        <w:rPr>
          <w:rFonts w:ascii="Aptos" w:hAnsi="Aptos"/>
          <w:b/>
          <w:color w:val="F2B842"/>
          <w:sz w:val="15"/>
        </w:rPr>
        <w:t xml:space="preserve">■  </w:t>
      </w:r>
      <w:hyperlink r:id="rId19">
        <w:r>
          <w:rPr>
            <w:color w:val="2E6D8F"/>
            <w:u w:val="single"/>
          </w:rPr>
          <w:t>Investor.gov — Build Wealth Over Time</w:t>
        </w:r>
      </w:hyperlink>
    </w:p>
    <w:p>
      <w:pPr>
        <w:spacing w:after="100"/>
      </w:pPr>
      <w:r>
        <w:rPr>
          <w:rFonts w:ascii="Aptos" w:hAnsi="Aptos"/>
          <w:b/>
          <w:color w:val="F2B842"/>
          <w:sz w:val="15"/>
        </w:rPr>
        <w:t xml:space="preserve">■  </w:t>
      </w:r>
      <w:hyperlink r:id="rId16">
        <w:r>
          <w:rPr>
            <w:color w:val="2E6D8F"/>
            <w:u w:val="single"/>
          </w:rPr>
          <w:t>Investor.gov — Avoid Investment Fraud</w:t>
        </w:r>
      </w:hyperlink>
    </w:p>
    <w:p>
      <w:pPr>
        <w:spacing w:after="100"/>
      </w:pPr>
      <w:r>
        <w:rPr>
          <w:rFonts w:ascii="Aptos" w:hAnsi="Aptos"/>
          <w:b/>
          <w:color w:val="F2B842"/>
          <w:sz w:val="15"/>
        </w:rPr>
        <w:t xml:space="preserve">■  </w:t>
      </w:r>
      <w:hyperlink r:id="rId17">
        <w:r>
          <w:rPr>
            <w:color w:val="2E6D8F"/>
            <w:u w:val="single"/>
          </w:rPr>
          <w:t>FINRA BrokerCheck</w:t>
        </w:r>
      </w:hyperlink>
    </w:p>
    <w:p>
      <w:pPr>
        <w:spacing w:after="100"/>
      </w:pPr>
      <w:r>
        <w:rPr>
          <w:rFonts w:ascii="Aptos" w:hAnsi="Aptos"/>
          <w:b/>
          <w:color w:val="F2B842"/>
          <w:sz w:val="15"/>
        </w:rPr>
        <w:t xml:space="preserve">■  </w:t>
      </w:r>
      <w:hyperlink r:id="rId13">
        <w:r>
          <w:rPr>
            <w:color w:val="2E6D8F"/>
            <w:u w:val="single"/>
          </w:rPr>
          <w:t>IRS — Retirement Plans</w:t>
        </w:r>
      </w:hyperlink>
    </w:p>
    <w:p>
      <w:pPr>
        <w:keepNext/>
        <w:spacing w:before="0" w:after="120"/>
      </w:pPr>
      <w:r>
        <w:rPr>
          <w:rFonts w:ascii="Arial Narrow" w:hAnsi="Arial Narrow"/>
          <w:b/>
          <w:caps w:val="0"/>
          <w:color w:val="000000"/>
          <w:sz w:val="33"/>
        </w:rPr>
        <w:t>Teaching-flow references</w:t>
      </w:r>
    </w:p>
    <w:p>
      <w:r>
        <w:rPr>
          <w:rFonts w:ascii="Aptos" w:hAnsi="Aptos"/>
          <w:b/>
          <w:color w:val="F2B842"/>
          <w:sz w:val="15"/>
        </w:rPr>
        <w:t xml:space="preserve">■  </w:t>
      </w:r>
      <w:hyperlink r:id="rId20">
        <w:r>
          <w:rPr>
            <w:color w:val="2E6D8F"/>
            <w:u w:val="single"/>
          </w:rPr>
          <w:t>Wall Street Trapper — public site</w:t>
        </w:r>
      </w:hyperlink>
    </w:p>
    <w:p>
      <w:r>
        <w:rPr>
          <w:rFonts w:ascii="Aptos" w:hAnsi="Aptos"/>
          <w:b/>
          <w:color w:val="F2B842"/>
          <w:sz w:val="15"/>
        </w:rPr>
        <w:t xml:space="preserve">■  </w:t>
      </w:r>
      <w:hyperlink r:id="rId21">
        <w:r>
          <w:rPr>
            <w:color w:val="2E6D8F"/>
            <w:u w:val="single"/>
          </w:rPr>
          <w:t>Trapper University — public investor curriculum</w:t>
        </w:r>
      </w:hyperlink>
    </w:p>
    <w:p>
      <w:pPr>
        <w:keepNext/>
        <w:spacing w:before="0" w:after="120"/>
      </w:pPr>
      <w:r>
        <w:rPr>
          <w:rFonts w:ascii="Arial Narrow" w:hAnsi="Arial Narrow"/>
          <w:b/>
          <w:caps w:val="0"/>
          <w:color w:val="000000"/>
          <w:sz w:val="33"/>
        </w:rPr>
        <w:t>Important disclaimer</w:t>
      </w:r>
    </w:p>
    <w:p>
      <w:pPr>
        <w:spacing w:after="140" w:line="283" w:lineRule="auto"/>
      </w:pPr>
      <w:r>
        <w:rPr>
          <w:rFonts w:ascii="Aptos" w:hAnsi="Aptos"/>
          <w:b w:val="0"/>
          <w:color w:val="17212B"/>
          <w:sz w:val="19"/>
        </w:rPr>
        <w:t>This material provides general education only. It does not provide personalized investment, tax, legal, insurance, credit, lending, or accounting advice and does not guarantee any outcome. Investments can lose value, including principal. Tax rules, contribution limits, product terms, plan rules, and laws change. Review the current official source and consult appropriately licensed or qualified professionals for decisions specific to your household.</w:t>
      </w:r>
    </w:p>
    <w:tbl>
      <w:tblPr>
        <w:tblW w:type="auto" w:w="0"/>
        <w:jc w:val="left"/>
        <w:tblLayout w:type="fixed"/>
        <w:tblLook w:firstColumn="1" w:firstRow="1" w:lastColumn="0" w:lastRow="0" w:noHBand="0" w:noVBand="1" w:val="04A0"/>
      </w:tblPr>
      <w:tblGrid>
        <w:gridCol w:w="173"/>
        <w:gridCol w:w="9619"/>
      </w:tblGrid>
      <w:tr>
        <w:tc>
          <w:tcPr>
            <w:tcW w:type="dxa" w:w="5083"/>
            <w:tcBorders>
              <w:top w:val="nil"/>
              <w:left w:val="nil"/>
              <w:bottom w:val="nil"/>
              <w:right w:val="nil"/>
            </w:tcBorders>
            <w:shd w:fill="F2B842"/>
            <w:tcMar>
              <w:top w:w="0" w:type="dxa"/>
              <w:start w:w="0" w:type="dxa"/>
              <w:bottom w:w="0" w:type="dxa"/>
              <w:end w:w="0" w:type="dxa"/>
            </w:tcMar>
          </w:tcPr>
          <w:p/>
        </w:tc>
        <w:tc>
          <w:tcPr>
            <w:tcW w:type="dxa" w:w="5083"/>
            <w:tcBorders>
              <w:top w:val="nil"/>
              <w:left w:val="nil"/>
              <w:bottom w:val="nil"/>
              <w:right w:val="nil"/>
            </w:tcBorders>
            <w:shd w:fill="E8EEF1"/>
            <w:tcMar>
              <w:top w:w="145" w:type="dxa"/>
              <w:start w:w="180" w:type="dxa"/>
              <w:bottom w:w="145" w:type="dxa"/>
              <w:end w:w="180" w:type="dxa"/>
            </w:tcMar>
          </w:tcPr>
          <w:p>
            <w:pPr>
              <w:spacing w:after="80"/>
            </w:pPr>
            <w:r>
              <w:rPr>
                <w:rFonts w:ascii="Aptos" w:hAnsi="Aptos"/>
                <w:b/>
                <w:color w:val="142436"/>
                <w:sz w:val="16"/>
              </w:rPr>
              <w:t>BLUE COLLAR WEALTH</w:t>
            </w:r>
          </w:p>
          <w:p>
            <w:pPr>
              <w:spacing w:after="0" w:line="276" w:lineRule="auto"/>
            </w:pPr>
            <w:r>
              <w:rPr>
                <w:rFonts w:ascii="Aptos" w:hAnsi="Aptos"/>
                <w:b w:val="0"/>
                <w:color w:val="17212B"/>
                <w:sz w:val="18"/>
              </w:rPr>
              <w:t>Protect the paycheck. Build ownership. Buy back choices.</w:t>
            </w:r>
          </w:p>
        </w:tc>
      </w:tr>
    </w:tbl>
    <w:sectPr w:rsidR="00FC693F" w:rsidRPr="0006063C" w:rsidSect="00034616">
      <w:headerReference w:type="default" r:id="rId9"/>
      <w:footerReference w:type="default" r:id="rId10"/>
      <w:pgSz w:w="12240" w:h="15840"/>
      <w:pgMar w:top="893" w:right="1037" w:bottom="835" w:left="1037" w:header="346"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color w:val="5D6871"/>
        <w:sz w:val="14"/>
      </w:rPr>
      <w:t xml:space="preserve">EDUCATIONAL USE ONLY  •  BLUE COLLAR WEALTH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6912"/>
      <w:gridCol w:w="3240"/>
    </w:tblGrid>
    <w:tr>
      <w:tc>
        <w:tcPr>
          <w:tcW w:type="dxa" w:w="5076"/>
          <w:tcBorders>
            <w:top w:val="nil"/>
            <w:left w:val="nil"/>
            <w:bottom w:val="nil"/>
            <w:right w:val="nil"/>
          </w:tcBorders>
          <w:tcMar>
            <w:top w:w="0" w:type="dxa"/>
            <w:start w:w="0" w:type="dxa"/>
            <w:bottom w:w="0" w:type="dxa"/>
            <w:end w:w="0" w:type="dxa"/>
          </w:tcMar>
        </w:tcPr>
        <w:p>
          <w:pPr>
            <w:spacing w:after="0"/>
          </w:pPr>
          <w:r>
            <w:drawing>
              <wp:inline xmlns:a="http://schemas.openxmlformats.org/drawingml/2006/main" xmlns:pic="http://schemas.openxmlformats.org/drawingml/2006/picture">
                <wp:extent cx="256032" cy="256032"/>
                <wp:docPr id="1" name="Picture 1"/>
                <wp:cNvGraphicFramePr>
                  <a:graphicFrameLocks noChangeAspect="1"/>
                </wp:cNvGraphicFramePr>
                <a:graphic>
                  <a:graphicData uri="http://schemas.openxmlformats.org/drawingml/2006/picture">
                    <pic:pic>
                      <pic:nvPicPr>
                        <pic:cNvPr id="0" name="blue-collar-wealth-emblem.png"/>
                        <pic:cNvPicPr/>
                      </pic:nvPicPr>
                      <pic:blipFill>
                        <a:blip r:embed="rId1"/>
                        <a:stretch>
                          <a:fillRect/>
                        </a:stretch>
                      </pic:blipFill>
                      <pic:spPr>
                        <a:xfrm>
                          <a:off x="0" y="0"/>
                          <a:ext cx="256032" cy="256032"/>
                        </a:xfrm>
                        <a:prstGeom prst="rect"/>
                      </pic:spPr>
                    </pic:pic>
                  </a:graphicData>
                </a:graphic>
              </wp:inline>
            </w:drawing>
          </w:r>
          <w:r>
            <w:rPr>
              <w:rFonts w:ascii="Aptos" w:hAnsi="Aptos"/>
              <w:b/>
              <w:color w:val="142436"/>
              <w:sz w:val="15"/>
            </w:rPr>
            <w:t xml:space="preserve">  BLUE COLLAR WEALTH</w:t>
          </w:r>
        </w:p>
      </w:tc>
      <w:tc>
        <w:tcPr>
          <w:tcW w:type="dxa" w:w="5076"/>
          <w:tcBorders>
            <w:top w:val="nil"/>
            <w:left w:val="nil"/>
            <w:bottom w:val="nil"/>
            <w:right w:val="nil"/>
          </w:tcBorders>
          <w:tcMar>
            <w:top w:w="0" w:type="dxa"/>
            <w:start w:w="0" w:type="dxa"/>
            <w:bottom w:w="0" w:type="dxa"/>
            <w:end w:w="0" w:type="dxa"/>
          </w:tcMar>
        </w:tcPr>
        <w:p>
          <w:pPr>
            <w:jc w:val="right"/>
          </w:pPr>
          <w:r>
            <w:rPr>
              <w:rFonts w:ascii="Aptos" w:hAnsi="Aptos"/>
              <w:b/>
              <w:color w:val="5D6871"/>
              <w:sz w:val="15"/>
            </w:rPr>
            <w:t>INVESTOR FIELD GUIDE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8" w:lineRule="auto"/>
    </w:pPr>
    <w:rPr>
      <w:rFonts w:ascii="Aptos" w:hAnsi="Aptos"/>
      <w:color w:val="17212B"/>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Narrow" w:hAnsi="Arial Narrow"/>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Narrow" w:hAnsi="Arial Narrow"/>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Narrow" w:hAnsi="Arial Narrow"/>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Narrow" w:hAnsi="Arial Narrow"/>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Narrow" w:hAnsi="Arial Narrow"/>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investor.gov/introduction-investing/getting-started" TargetMode="External"/><Relationship Id="rId13" Type="http://schemas.openxmlformats.org/officeDocument/2006/relationships/hyperlink" Target="https://www.irs.gov/retirement-plans" TargetMode="External"/><Relationship Id="rId14" Type="http://schemas.openxmlformats.org/officeDocument/2006/relationships/hyperlink" Target="https://www.investor.gov/introduction-investing/getting-started/asset-allocation" TargetMode="External"/><Relationship Id="rId15" Type="http://schemas.openxmlformats.org/officeDocument/2006/relationships/hyperlink" Target="https://www.investor.gov/introduction-investing/getting-started/investing-your-own" TargetMode="External"/><Relationship Id="rId16" Type="http://schemas.openxmlformats.org/officeDocument/2006/relationships/hyperlink" Target="https://www.investor.gov/protect-your-investments/fraud/how-avoid-fraud/what-you-can-do-avoid-investment-fraud" TargetMode="External"/><Relationship Id="rId17" Type="http://schemas.openxmlformats.org/officeDocument/2006/relationships/hyperlink" Target="https://brokercheck.finra.org/" TargetMode="External"/><Relationship Id="rId18" Type="http://schemas.openxmlformats.org/officeDocument/2006/relationships/hyperlink" Target="https://www.investor.gov/introduction-investing" TargetMode="External"/><Relationship Id="rId19" Type="http://schemas.openxmlformats.org/officeDocument/2006/relationships/hyperlink" Target="https://www.investor.gov/build-wealth-over-time-through-saving-and-investing" TargetMode="External"/><Relationship Id="rId20" Type="http://schemas.openxmlformats.org/officeDocument/2006/relationships/hyperlink" Target="https://wallstreettrapper.com/" TargetMode="External"/><Relationship Id="rId21" Type="http://schemas.openxmlformats.org/officeDocument/2006/relationships/hyperlink" Target="https://wallstreet.thetrapperuniversity.com/investo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 Collar Wealth Investor Field Guide</dc:title>
  <dc:subject>Plain-language investing education for working families</dc:subject>
  <dc:creator>Russ Gallivan, CHST</dc:creator>
  <cp:keywords>Blue Collar Wealth, investing, working families, variable income, ownership</cp:keywords>
  <dc:description>Educational material only; not personalized financial advice.</dc:description>
  <cp:lastModifiedBy/>
  <cp:revision>1</cp:revision>
  <dcterms:created xsi:type="dcterms:W3CDTF">2013-12-23T23:15:00Z</dcterms:created>
  <dcterms:modified xsi:type="dcterms:W3CDTF">2013-12-23T23:15:00Z</dcterms:modified>
  <cp:category/>
</cp:coreProperties>
</file>